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6" w:rsidRDefault="00084396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Dear All,</w:t>
      </w:r>
    </w:p>
    <w:p w:rsidR="00084396" w:rsidRDefault="00084396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question of “personal data” and “sensitive personal data”</w:t>
      </w:r>
      <w:r w:rsidR="00F117D4">
        <w:rPr>
          <w:rFonts w:ascii="Calibri" w:eastAsia="Times New Roman" w:hAnsi="Calibri" w:cs="Times New Roman"/>
          <w:color w:val="000000"/>
        </w:rPr>
        <w:t xml:space="preserve"> under the GDPR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666B8A">
        <w:rPr>
          <w:rFonts w:ascii="Calibri" w:eastAsia="Times New Roman" w:hAnsi="Calibri" w:cs="Times New Roman"/>
          <w:color w:val="000000"/>
        </w:rPr>
        <w:t xml:space="preserve">is going to come up soon, if it has not already. </w:t>
      </w:r>
      <w:r w:rsidR="00F117D4">
        <w:rPr>
          <w:rFonts w:ascii="Calibri" w:eastAsia="Times New Roman" w:hAnsi="Calibri" w:cs="Times New Roman"/>
          <w:color w:val="000000"/>
        </w:rPr>
        <w:t xml:space="preserve">These are two distinct protected categories of data under the GDPR </w:t>
      </w:r>
      <w:r>
        <w:rPr>
          <w:rFonts w:ascii="Calibri" w:eastAsia="Times New Roman" w:hAnsi="Calibri" w:cs="Times New Roman"/>
          <w:color w:val="000000"/>
        </w:rPr>
        <w:t xml:space="preserve">– and </w:t>
      </w:r>
      <w:r w:rsidR="00F117D4">
        <w:rPr>
          <w:rFonts w:ascii="Calibri" w:eastAsia="Times New Roman" w:hAnsi="Calibri" w:cs="Times New Roman"/>
          <w:color w:val="000000"/>
        </w:rPr>
        <w:t xml:space="preserve">ones that make </w:t>
      </w:r>
      <w:r>
        <w:rPr>
          <w:rFonts w:ascii="Calibri" w:eastAsia="Times New Roman" w:hAnsi="Calibri" w:cs="Times New Roman"/>
          <w:color w:val="000000"/>
        </w:rPr>
        <w:t xml:space="preserve">the line between </w:t>
      </w:r>
      <w:r w:rsidR="00A17E0F">
        <w:rPr>
          <w:rFonts w:ascii="Calibri" w:eastAsia="Times New Roman" w:hAnsi="Calibri" w:cs="Times New Roman"/>
          <w:color w:val="000000"/>
        </w:rPr>
        <w:t xml:space="preserve">individual and organizational domain name registrants </w:t>
      </w:r>
      <w:r w:rsidR="00666B8A">
        <w:rPr>
          <w:rFonts w:ascii="Calibri" w:eastAsia="Times New Roman" w:hAnsi="Calibri" w:cs="Times New Roman"/>
          <w:color w:val="000000"/>
        </w:rPr>
        <w:t>blurry</w:t>
      </w:r>
      <w:r w:rsidR="00A17E0F">
        <w:rPr>
          <w:rFonts w:ascii="Calibri" w:eastAsia="Times New Roman" w:hAnsi="Calibri" w:cs="Times New Roman"/>
          <w:color w:val="000000"/>
        </w:rPr>
        <w:t>.</w:t>
      </w:r>
    </w:p>
    <w:p w:rsidR="00A17E0F" w:rsidRDefault="00A17E0F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7E0F" w:rsidRDefault="00A17E0F" w:rsidP="00084396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Traditional “personal data,” as you know, is that which can identify a </w:t>
      </w:r>
      <w:r>
        <w:t xml:space="preserve">living individual, such as the fields we talk about </w:t>
      </w:r>
      <w:r w:rsidR="00F117D4">
        <w:t>often in the WHOIS</w:t>
      </w:r>
      <w:r>
        <w:t>: address, phone, email.</w:t>
      </w:r>
    </w:p>
    <w:p w:rsidR="00A17E0F" w:rsidRDefault="00A17E0F" w:rsidP="00084396">
      <w:pPr>
        <w:spacing w:after="0" w:line="240" w:lineRule="auto"/>
      </w:pPr>
    </w:p>
    <w:p w:rsidR="00F117D4" w:rsidRDefault="00666B8A" w:rsidP="00084396">
      <w:pPr>
        <w:spacing w:after="0" w:line="240" w:lineRule="auto"/>
      </w:pPr>
      <w:r>
        <w:t xml:space="preserve">There </w:t>
      </w:r>
      <w:r w:rsidR="00A17E0F">
        <w:t xml:space="preserve">is </w:t>
      </w:r>
      <w:r>
        <w:t xml:space="preserve">a second </w:t>
      </w:r>
      <w:r w:rsidR="00A17E0F">
        <w:t xml:space="preserve">category of protected </w:t>
      </w:r>
      <w:r>
        <w:t xml:space="preserve">data </w:t>
      </w:r>
      <w:r w:rsidR="00F117D4">
        <w:t xml:space="preserve">under the GDPR. </w:t>
      </w:r>
      <w:r>
        <w:t xml:space="preserve">This is the category of </w:t>
      </w:r>
      <w:r w:rsidR="00A17E0F">
        <w:t xml:space="preserve">“sensitive data” </w:t>
      </w:r>
      <w:r>
        <w:t xml:space="preserve">and </w:t>
      </w:r>
      <w:r w:rsidR="00A17E0F">
        <w:t>sensitive personal data” and it</w:t>
      </w:r>
      <w:r w:rsidR="00F117D4">
        <w:t xml:space="preserve">s protections are wide-ranging and include protections for </w:t>
      </w:r>
      <w:r w:rsidR="00F117D4">
        <w:t xml:space="preserve">fundamental rights </w:t>
      </w:r>
      <w:r w:rsidR="00F117D4">
        <w:t xml:space="preserve">including </w:t>
      </w:r>
      <w:r w:rsidR="00F117D4">
        <w:t xml:space="preserve">political and religious freedoms. </w:t>
      </w:r>
    </w:p>
    <w:p w:rsidR="00F117D4" w:rsidRDefault="00F117D4" w:rsidP="00084396">
      <w:pPr>
        <w:spacing w:after="0" w:line="240" w:lineRule="auto"/>
      </w:pPr>
    </w:p>
    <w:p w:rsidR="00A17E0F" w:rsidRDefault="00A17E0F" w:rsidP="00084396">
      <w:pPr>
        <w:spacing w:after="0" w:line="240" w:lineRule="auto"/>
      </w:pPr>
      <w:r>
        <w:t xml:space="preserve"> “</w:t>
      </w:r>
      <w:r w:rsidR="00666B8A">
        <w:t>S</w:t>
      </w:r>
      <w:r>
        <w:t>ensitive”</w:t>
      </w:r>
      <w:r w:rsidR="00666B8A">
        <w:t xml:space="preserve"> data under the GDPR, per Article 9, </w:t>
      </w:r>
      <w:r>
        <w:t>includes</w:t>
      </w:r>
      <w:r w:rsidR="00666B8A">
        <w:t xml:space="preserve"> information pertaining to</w:t>
      </w:r>
      <w:r>
        <w:t>:</w:t>
      </w:r>
    </w:p>
    <w:p w:rsidR="00A17E0F" w:rsidRDefault="00A17E0F" w:rsidP="00A17E0F">
      <w:pPr>
        <w:pStyle w:val="ListParagraph"/>
        <w:numPr>
          <w:ilvl w:val="0"/>
          <w:numId w:val="1"/>
        </w:numPr>
        <w:spacing w:after="0" w:line="240" w:lineRule="auto"/>
      </w:pPr>
      <w:r w:rsidRPr="00A17E0F">
        <w:t xml:space="preserve">racial or ethnic origin, </w:t>
      </w:r>
    </w:p>
    <w:p w:rsidR="00A17E0F" w:rsidRDefault="00A17E0F" w:rsidP="00A17E0F">
      <w:pPr>
        <w:pStyle w:val="ListParagraph"/>
        <w:numPr>
          <w:ilvl w:val="0"/>
          <w:numId w:val="1"/>
        </w:numPr>
        <w:spacing w:after="0" w:line="240" w:lineRule="auto"/>
      </w:pPr>
      <w:r w:rsidRPr="00A17E0F">
        <w:t xml:space="preserve">political opinions, </w:t>
      </w:r>
    </w:p>
    <w:p w:rsidR="00A17E0F" w:rsidRDefault="00A17E0F" w:rsidP="00A17E0F">
      <w:pPr>
        <w:pStyle w:val="ListParagraph"/>
        <w:numPr>
          <w:ilvl w:val="0"/>
          <w:numId w:val="1"/>
        </w:numPr>
        <w:spacing w:after="0" w:line="240" w:lineRule="auto"/>
      </w:pPr>
      <w:r w:rsidRPr="00A17E0F">
        <w:t xml:space="preserve">religious or philosophical beliefs, or </w:t>
      </w:r>
    </w:p>
    <w:p w:rsidR="00A17E0F" w:rsidRDefault="00A17E0F" w:rsidP="00A17E0F">
      <w:pPr>
        <w:pStyle w:val="ListParagraph"/>
        <w:numPr>
          <w:ilvl w:val="0"/>
          <w:numId w:val="1"/>
        </w:numPr>
        <w:spacing w:after="0" w:line="240" w:lineRule="auto"/>
      </w:pPr>
      <w:r w:rsidRPr="00A17E0F">
        <w:t xml:space="preserve">trade union membership, </w:t>
      </w:r>
    </w:p>
    <w:p w:rsidR="00A17E0F" w:rsidRDefault="00A17E0F" w:rsidP="00A17E0F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 w:rsidRPr="00A17E0F">
        <w:t>data</w:t>
      </w:r>
      <w:proofErr w:type="gramEnd"/>
      <w:r w:rsidRPr="00A17E0F">
        <w:t xml:space="preserve"> concerning a natural person’s sex life or sexual orientation shall be prohibited.</w:t>
      </w:r>
    </w:p>
    <w:p w:rsidR="00666B8A" w:rsidRPr="00666B8A" w:rsidRDefault="00666B8A" w:rsidP="00666B8A">
      <w:pPr>
        <w:spacing w:after="0" w:line="240" w:lineRule="auto"/>
        <w:ind w:left="360"/>
        <w:rPr>
          <w:i/>
        </w:rPr>
      </w:pPr>
      <w:r>
        <w:t xml:space="preserve">See Article 9 of GDPR, </w:t>
      </w:r>
      <w:r w:rsidRPr="00666B8A">
        <w:rPr>
          <w:i/>
        </w:rPr>
        <w:t xml:space="preserve">Processing of special categories of personal data, </w:t>
      </w:r>
      <w:hyperlink r:id="rId5" w:history="1">
        <w:r w:rsidRPr="00666B8A">
          <w:rPr>
            <w:rStyle w:val="Hyperlink"/>
            <w:i/>
          </w:rPr>
          <w:t>https://gdpr-info.eu/art-9-gdpr/</w:t>
        </w:r>
      </w:hyperlink>
    </w:p>
    <w:p w:rsidR="00A17E0F" w:rsidRDefault="00A17E0F" w:rsidP="00A17E0F">
      <w:pPr>
        <w:spacing w:after="0" w:line="240" w:lineRule="auto"/>
      </w:pPr>
    </w:p>
    <w:p w:rsidR="00F117D4" w:rsidRDefault="00F117D4" w:rsidP="00A17E0F">
      <w:pPr>
        <w:spacing w:after="0" w:line="240" w:lineRule="auto"/>
      </w:pPr>
      <w:r>
        <w:t>D</w:t>
      </w:r>
      <w:r w:rsidR="00666B8A">
        <w:t xml:space="preserve">ata </w:t>
      </w:r>
      <w:r w:rsidR="00666B8A">
        <w:t xml:space="preserve">processing </w:t>
      </w:r>
      <w:r>
        <w:t xml:space="preserve">of “sensitive data” </w:t>
      </w:r>
      <w:r w:rsidR="00666B8A">
        <w:t>can take place only for very limited reasons, and always “</w:t>
      </w:r>
      <w:r w:rsidR="00666B8A">
        <w:t>providing for appropriate safeguards for the fundamental rights and th</w:t>
      </w:r>
      <w:r w:rsidR="00666B8A">
        <w:t>e interests of the data subject.” GDPR Art. 9(2)(b)</w:t>
      </w:r>
      <w:r>
        <w:t xml:space="preserve"> </w:t>
      </w:r>
      <w:r w:rsidR="00A17E0F">
        <w:t xml:space="preserve">Thus, </w:t>
      </w:r>
      <w:r w:rsidR="00666B8A">
        <w:t xml:space="preserve">those who register a domain name and/or build and run websites for </w:t>
      </w:r>
      <w:r>
        <w:t xml:space="preserve">minority racial, </w:t>
      </w:r>
      <w:r w:rsidR="00A17E0F">
        <w:t>ethnic</w:t>
      </w:r>
      <w:r>
        <w:t xml:space="preserve">, political, and LGBTQ groups </w:t>
      </w:r>
      <w:r w:rsidR="00A17E0F">
        <w:t xml:space="preserve">are </w:t>
      </w:r>
      <w:r w:rsidR="00666B8A">
        <w:t xml:space="preserve">specially </w:t>
      </w:r>
      <w:r w:rsidR="00A17E0F">
        <w:t xml:space="preserve">protected.  </w:t>
      </w:r>
    </w:p>
    <w:p w:rsidR="00F117D4" w:rsidRDefault="00F117D4" w:rsidP="00A17E0F">
      <w:pPr>
        <w:spacing w:after="0" w:line="240" w:lineRule="auto"/>
      </w:pPr>
    </w:p>
    <w:p w:rsidR="00666B8A" w:rsidRDefault="00666B8A" w:rsidP="00A17E0F">
      <w:pPr>
        <w:spacing w:after="0" w:line="240" w:lineRule="auto"/>
      </w:pPr>
      <w:r>
        <w:t xml:space="preserve">As you can </w:t>
      </w:r>
      <w:r w:rsidR="00F117D4">
        <w:t>imagine</w:t>
      </w:r>
      <w:r>
        <w:t xml:space="preserve">, this protection of “sensitive data” </w:t>
      </w:r>
      <w:r w:rsidR="001A5EE2">
        <w:t xml:space="preserve">makes the processing of </w:t>
      </w:r>
      <w:r w:rsidR="00F117D4">
        <w:t>“</w:t>
      </w:r>
      <w:r w:rsidR="001A5EE2">
        <w:t>legal entities</w:t>
      </w:r>
      <w:r w:rsidR="00F117D4">
        <w:t xml:space="preserve">” </w:t>
      </w:r>
      <w:r w:rsidR="00F100E9">
        <w:t xml:space="preserve">more complicated </w:t>
      </w:r>
      <w:r>
        <w:t xml:space="preserve">than we normally talk about </w:t>
      </w:r>
      <w:r w:rsidR="00F100E9">
        <w:t xml:space="preserve">in ICANN </w:t>
      </w:r>
      <w:r w:rsidR="001A5EE2">
        <w:t>– as mosques, synagogues, and increasingly churches today</w:t>
      </w:r>
      <w:r>
        <w:t xml:space="preserve"> </w:t>
      </w:r>
      <w:r w:rsidR="00F100E9">
        <w:t xml:space="preserve">(all </w:t>
      </w:r>
      <w:r w:rsidR="00F117D4">
        <w:t xml:space="preserve">generally </w:t>
      </w:r>
      <w:r w:rsidR="00F100E9">
        <w:t>“legal entities”</w:t>
      </w:r>
      <w:r w:rsidR="00F117D4">
        <w:t xml:space="preserve">), among others, </w:t>
      </w:r>
      <w:r w:rsidR="001A5EE2">
        <w:t>are finding themselves exposed to harassment and worse</w:t>
      </w:r>
      <w:r w:rsidR="00F100E9">
        <w:t xml:space="preserve">, and expressly protected </w:t>
      </w:r>
      <w:r w:rsidR="00F117D4">
        <w:t xml:space="preserve">in their data processing </w:t>
      </w:r>
      <w:r w:rsidR="00F100E9">
        <w:t xml:space="preserve">by the GDPR. </w:t>
      </w:r>
    </w:p>
    <w:p w:rsidR="00666B8A" w:rsidRDefault="00666B8A" w:rsidP="00A17E0F">
      <w:pPr>
        <w:spacing w:after="0" w:line="240" w:lineRule="auto"/>
      </w:pPr>
    </w:p>
    <w:p w:rsidR="00F117D4" w:rsidRPr="00F117D4" w:rsidRDefault="00F117D4" w:rsidP="00A17E0F">
      <w:pPr>
        <w:spacing w:after="0" w:line="240" w:lineRule="auto"/>
        <w:rPr>
          <w:b/>
          <w:u w:val="single"/>
        </w:rPr>
      </w:pPr>
      <w:r w:rsidRPr="00F117D4">
        <w:rPr>
          <w:b/>
          <w:u w:val="single"/>
        </w:rPr>
        <w:t>Sensitive data – reaching organizations engaged in a range of fundamental rights</w:t>
      </w:r>
    </w:p>
    <w:p w:rsidR="001A5EE2" w:rsidRDefault="00666B8A" w:rsidP="00A17E0F">
      <w:pPr>
        <w:spacing w:after="0" w:line="240" w:lineRule="auto"/>
      </w:pPr>
      <w:r>
        <w:t xml:space="preserve">Despite </w:t>
      </w:r>
      <w:r w:rsidR="001A5EE2">
        <w:t>being “legal entities</w:t>
      </w:r>
      <w:r>
        <w:t>,</w:t>
      </w:r>
      <w:r w:rsidR="001A5EE2">
        <w:t xml:space="preserve">” </w:t>
      </w:r>
      <w:r>
        <w:t xml:space="preserve">religious, political and LGBTQ organizations </w:t>
      </w:r>
      <w:r w:rsidR="001A5EE2">
        <w:t xml:space="preserve">are entitled to higher protection for their data to protect the “fundamental </w:t>
      </w:r>
      <w:r w:rsidR="001A5EE2">
        <w:t>rights and th</w:t>
      </w:r>
      <w:r w:rsidR="00F100E9">
        <w:t>e interests of the data subject</w:t>
      </w:r>
      <w:r w:rsidR="00F117D4">
        <w:t>.</w:t>
      </w:r>
      <w:r w:rsidR="00F100E9">
        <w:t xml:space="preserve">” </w:t>
      </w:r>
      <w:r w:rsidR="00F117D4">
        <w:t xml:space="preserve">This ensures that the </w:t>
      </w:r>
      <w:r w:rsidR="001A5EE2">
        <w:t xml:space="preserve">individuals </w:t>
      </w:r>
      <w:r w:rsidR="00F100E9">
        <w:t>who register their domain names and</w:t>
      </w:r>
      <w:r w:rsidR="00F117D4">
        <w:t xml:space="preserve"> run their websites receive </w:t>
      </w:r>
      <w:r w:rsidR="001A5EE2">
        <w:t>special protection under the GDPR</w:t>
      </w:r>
      <w:r w:rsidR="00F100E9">
        <w:t>.</w:t>
      </w:r>
    </w:p>
    <w:p w:rsidR="001A5EE2" w:rsidRDefault="001A5EE2" w:rsidP="00A17E0F">
      <w:pPr>
        <w:spacing w:after="0" w:line="240" w:lineRule="auto"/>
      </w:pPr>
    </w:p>
    <w:p w:rsidR="001A5EE2" w:rsidRDefault="00F100E9" w:rsidP="00A17E0F">
      <w:pPr>
        <w:spacing w:after="0" w:line="240" w:lineRule="auto"/>
      </w:pPr>
      <w:r>
        <w:t xml:space="preserve">In so doing the </w:t>
      </w:r>
      <w:r w:rsidR="001A5EE2">
        <w:t>line between “</w:t>
      </w:r>
      <w:r>
        <w:t>individuals</w:t>
      </w:r>
      <w:r w:rsidR="001A5EE2">
        <w:t xml:space="preserve">” and “legal persons” </w:t>
      </w:r>
      <w:r>
        <w:t xml:space="preserve">becomes </w:t>
      </w:r>
      <w:r w:rsidR="001A5EE2">
        <w:t xml:space="preserve">blurry – especially when the organization </w:t>
      </w:r>
      <w:r w:rsidR="00F117D4">
        <w:t xml:space="preserve">are small -- </w:t>
      </w:r>
      <w:r w:rsidR="001A5EE2">
        <w:t xml:space="preserve">a few people coming together to share </w:t>
      </w:r>
      <w:r>
        <w:t xml:space="preserve">minority </w:t>
      </w:r>
      <w:r w:rsidR="001A5EE2">
        <w:t xml:space="preserve">political concerns, </w:t>
      </w:r>
      <w:r w:rsidR="00F117D4">
        <w:t>religious beliefs and/</w:t>
      </w:r>
      <w:r w:rsidR="001A5EE2">
        <w:t>or safe sex material (</w:t>
      </w:r>
      <w:r w:rsidR="00F117D4">
        <w:t xml:space="preserve">and as we know, most </w:t>
      </w:r>
      <w:r w:rsidR="001A5EE2">
        <w:t xml:space="preserve">organizations </w:t>
      </w:r>
      <w:r w:rsidR="00F117D4">
        <w:t xml:space="preserve">will </w:t>
      </w:r>
      <w:r w:rsidR="001A5EE2">
        <w:t xml:space="preserve">pass through </w:t>
      </w:r>
      <w:r>
        <w:t xml:space="preserve">this </w:t>
      </w:r>
      <w:r w:rsidR="001A5EE2">
        <w:t xml:space="preserve">“small stage” </w:t>
      </w:r>
      <w:r>
        <w:t xml:space="preserve">of a few </w:t>
      </w:r>
      <w:r w:rsidR="00F117D4">
        <w:t xml:space="preserve">individuals </w:t>
      </w:r>
      <w:r>
        <w:t xml:space="preserve">before </w:t>
      </w:r>
      <w:r w:rsidR="001A5EE2">
        <w:t xml:space="preserve">becoming </w:t>
      </w:r>
      <w:r>
        <w:t>the large, well-</w:t>
      </w:r>
      <w:r w:rsidR="001A5EE2">
        <w:t xml:space="preserve"> established organizations</w:t>
      </w:r>
      <w:r>
        <w:t xml:space="preserve"> we come to know later</w:t>
      </w:r>
      <w:r w:rsidR="001A5EE2">
        <w:t xml:space="preserve">). </w:t>
      </w:r>
      <w:r w:rsidR="00F117D4">
        <w:t>The GDPR recognizes</w:t>
      </w:r>
      <w:r>
        <w:t xml:space="preserve"> that these organizations, </w:t>
      </w:r>
      <w:r w:rsidR="001A5EE2">
        <w:t>even if technically “legal persons</w:t>
      </w:r>
      <w:r>
        <w:t>,</w:t>
      </w:r>
      <w:r w:rsidR="001A5EE2">
        <w:t xml:space="preserve">” are </w:t>
      </w:r>
      <w:r>
        <w:t xml:space="preserve">exposed and the individuals </w:t>
      </w:r>
      <w:r w:rsidR="001A5EE2">
        <w:t xml:space="preserve">who </w:t>
      </w:r>
      <w:r w:rsidR="00F117D4">
        <w:t xml:space="preserve">assist them, </w:t>
      </w:r>
      <w:r>
        <w:t xml:space="preserve">including as </w:t>
      </w:r>
      <w:r w:rsidR="00F117D4">
        <w:t xml:space="preserve">DN </w:t>
      </w:r>
      <w:r>
        <w:t xml:space="preserve">registrants, </w:t>
      </w:r>
      <w:r w:rsidR="001A5EE2">
        <w:t>are vulnerable.</w:t>
      </w:r>
    </w:p>
    <w:p w:rsidR="00F100E9" w:rsidRDefault="00F100E9" w:rsidP="00A17E0F">
      <w:pPr>
        <w:spacing w:after="0" w:line="240" w:lineRule="auto"/>
      </w:pPr>
    </w:p>
    <w:p w:rsidR="00391C2D" w:rsidRDefault="001A5EE2" w:rsidP="00A17E0F">
      <w:pPr>
        <w:spacing w:after="0" w:line="240" w:lineRule="auto"/>
      </w:pPr>
      <w:r>
        <w:t>I’ve talked extensively with Council of Europe’s Data Protect</w:t>
      </w:r>
      <w:r w:rsidR="00F117D4">
        <w:t>1</w:t>
      </w:r>
      <w:r>
        <w:t xml:space="preserve">ion Unit about these </w:t>
      </w:r>
      <w:r w:rsidR="00F100E9">
        <w:t xml:space="preserve">“sensitive data” </w:t>
      </w:r>
      <w:r>
        <w:t xml:space="preserve">protections </w:t>
      </w:r>
      <w:r w:rsidR="00F100E9">
        <w:t xml:space="preserve">under the GDPR, </w:t>
      </w:r>
      <w:r w:rsidR="00F117D4">
        <w:t xml:space="preserve">and they were the ones who pointed out these additional protections under the GDPR to me. I </w:t>
      </w:r>
      <w:r w:rsidR="00F100E9">
        <w:t xml:space="preserve">would be happy to provide you </w:t>
      </w:r>
      <w:r w:rsidR="00391C2D">
        <w:t>with more information, if you would like.</w:t>
      </w:r>
    </w:p>
    <w:p w:rsidR="00391C2D" w:rsidRDefault="00391C2D" w:rsidP="00A17E0F">
      <w:pPr>
        <w:spacing w:after="0" w:line="240" w:lineRule="auto"/>
      </w:pPr>
    </w:p>
    <w:p w:rsidR="00391C2D" w:rsidRPr="00391C2D" w:rsidRDefault="00391C2D" w:rsidP="00A17E0F">
      <w:pPr>
        <w:spacing w:after="0" w:line="240" w:lineRule="auto"/>
        <w:rPr>
          <w:b/>
          <w:u w:val="single"/>
        </w:rPr>
      </w:pPr>
      <w:r w:rsidRPr="00391C2D">
        <w:rPr>
          <w:b/>
          <w:u w:val="single"/>
        </w:rPr>
        <w:lastRenderedPageBreak/>
        <w:t>Edits to the EPDP Draft</w:t>
      </w:r>
    </w:p>
    <w:p w:rsidR="001A5EE2" w:rsidRDefault="001A5EE2" w:rsidP="00A17E0F">
      <w:pPr>
        <w:spacing w:after="0" w:line="240" w:lineRule="auto"/>
      </w:pPr>
      <w:r>
        <w:t xml:space="preserve">In all events, </w:t>
      </w:r>
      <w:r w:rsidR="00F100E9">
        <w:t xml:space="preserve">I would like to urge that </w:t>
      </w:r>
      <w:r>
        <w:t xml:space="preserve">the EPDP drafting document include references – many of them – </w:t>
      </w:r>
      <w:proofErr w:type="gramStart"/>
      <w:r>
        <w:t>not</w:t>
      </w:r>
      <w:proofErr w:type="gramEnd"/>
      <w:r>
        <w:t xml:space="preserve"> only to “personal data” but to “sensitive data</w:t>
      </w:r>
      <w:r w:rsidR="00F100E9">
        <w:t>.</w:t>
      </w:r>
      <w:r>
        <w:t xml:space="preserve">” </w:t>
      </w:r>
      <w:r w:rsidR="00F100E9">
        <w:t>This is consi</w:t>
      </w:r>
      <w:r w:rsidR="00391C2D">
        <w:t xml:space="preserve">stent and required by the GDPR and this </w:t>
      </w:r>
      <w:r w:rsidR="00F100E9">
        <w:t xml:space="preserve">inclusion will serve as an important </w:t>
      </w:r>
      <w:r>
        <w:t xml:space="preserve">flag for those </w:t>
      </w:r>
      <w:r w:rsidR="00391C2D">
        <w:t xml:space="preserve">serving </w:t>
      </w:r>
      <w:r>
        <w:t xml:space="preserve">on the </w:t>
      </w:r>
      <w:r w:rsidR="00F100E9">
        <w:t xml:space="preserve">upcoming </w:t>
      </w:r>
      <w:r w:rsidR="00391C2D">
        <w:t xml:space="preserve">EPDP. It will let them know to </w:t>
      </w:r>
      <w:r>
        <w:t xml:space="preserve">dive more deeply </w:t>
      </w:r>
      <w:r w:rsidR="00F100E9">
        <w:t xml:space="preserve">into Article 9 of the GDPR and its sensitive data protections – and explore more </w:t>
      </w:r>
      <w:r w:rsidR="00391C2D">
        <w:t xml:space="preserve">closely </w:t>
      </w:r>
      <w:r w:rsidR="00F100E9">
        <w:t xml:space="preserve">why the </w:t>
      </w:r>
      <w:r>
        <w:t xml:space="preserve">ICANN </w:t>
      </w:r>
      <w:r w:rsidR="00F100E9">
        <w:t xml:space="preserve">Board chose </w:t>
      </w:r>
      <w:r>
        <w:t xml:space="preserve">not </w:t>
      </w:r>
      <w:r w:rsidR="00F100E9">
        <w:t xml:space="preserve">to </w:t>
      </w:r>
      <w:r>
        <w:t>differentiate between legal persons and individuals</w:t>
      </w:r>
      <w:r w:rsidR="00F100E9">
        <w:t xml:space="preserve"> in the Temporary Specification</w:t>
      </w:r>
      <w:r>
        <w:t xml:space="preserve">. </w:t>
      </w:r>
    </w:p>
    <w:p w:rsidR="001A5EE2" w:rsidRDefault="001A5EE2" w:rsidP="00A17E0F">
      <w:pPr>
        <w:spacing w:after="0" w:line="240" w:lineRule="auto"/>
      </w:pPr>
    </w:p>
    <w:p w:rsidR="004A3D92" w:rsidRPr="00A06EEF" w:rsidRDefault="00A06EEF" w:rsidP="004A3D92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color w:val="333333"/>
          <w:sz w:val="20"/>
          <w:szCs w:val="20"/>
          <w:shd w:val="clear" w:color="auto" w:fill="FFFF00"/>
        </w:rPr>
      </w:pPr>
      <w:r>
        <w:rPr>
          <w:rFonts w:asciiTheme="minorHAnsi" w:hAnsiTheme="minorHAnsi"/>
        </w:rPr>
        <w:t xml:space="preserve">Such inclusion of “sensitive data” </w:t>
      </w:r>
      <w:r w:rsidR="004A3D92" w:rsidRPr="00A06EEF">
        <w:rPr>
          <w:rFonts w:asciiTheme="minorHAnsi" w:hAnsiTheme="minorHAnsi"/>
        </w:rPr>
        <w:t xml:space="preserve">will also </w:t>
      </w:r>
      <w:r>
        <w:rPr>
          <w:rFonts w:asciiTheme="minorHAnsi" w:hAnsiTheme="minorHAnsi"/>
        </w:rPr>
        <w:t xml:space="preserve">make it clear </w:t>
      </w:r>
      <w:r w:rsidR="005E61BB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much needs to go into an evaluation of </w:t>
      </w:r>
      <w:r w:rsidR="004A3D92" w:rsidRPr="00A06EEF">
        <w:rPr>
          <w:rFonts w:asciiTheme="minorHAnsi" w:hAnsiTheme="minorHAnsi"/>
        </w:rPr>
        <w:t>the “access to registration data based on legitimate interests not outweighed by the fundamental rights of relevant data subjects.”</w:t>
      </w:r>
      <w:r>
        <w:rPr>
          <w:rFonts w:asciiTheme="minorHAnsi" w:hAnsiTheme="minorHAnsi"/>
        </w:rPr>
        <w:t xml:space="preserve"> </w:t>
      </w:r>
      <w:r w:rsidR="004A3D92" w:rsidRPr="00A06EEF">
        <w:rPr>
          <w:rFonts w:asciiTheme="minorHAnsi" w:hAnsiTheme="minorHAnsi"/>
        </w:rPr>
        <w:t xml:space="preserve"> </w:t>
      </w:r>
      <w:r w:rsidR="00391C2D">
        <w:rPr>
          <w:rFonts w:asciiTheme="minorHAnsi" w:hAnsiTheme="minorHAnsi"/>
        </w:rPr>
        <w:t xml:space="preserve">It will not be an easy or clear evaluation – especially with the types of organizations we have identified above! </w:t>
      </w:r>
    </w:p>
    <w:p w:rsidR="004A3D92" w:rsidRPr="00A06EEF" w:rsidRDefault="004A3D92" w:rsidP="004A3D9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91C2D" w:rsidRDefault="00391C2D" w:rsidP="00A17E0F">
      <w:pPr>
        <w:spacing w:after="0" w:line="240" w:lineRule="auto"/>
      </w:pPr>
      <w:r>
        <w:t>One example of edits to the EPDP draft is set out below.</w:t>
      </w:r>
    </w:p>
    <w:p w:rsidR="00391C2D" w:rsidRDefault="00391C2D" w:rsidP="00A17E0F">
      <w:pPr>
        <w:spacing w:after="0" w:line="240" w:lineRule="auto"/>
      </w:pPr>
    </w:p>
    <w:p w:rsidR="00666B8A" w:rsidRDefault="00F100E9" w:rsidP="00A17E0F">
      <w:pPr>
        <w:spacing w:after="0" w:line="240" w:lineRule="auto"/>
      </w:pPr>
      <w:r>
        <w:t>Please let</w:t>
      </w:r>
      <w:r w:rsidR="00A06EEF">
        <w:t xml:space="preserve"> me know what I can do to help! </w:t>
      </w:r>
    </w:p>
    <w:p w:rsidR="00666B8A" w:rsidRDefault="00666B8A" w:rsidP="00A17E0F">
      <w:pPr>
        <w:spacing w:after="0" w:line="240" w:lineRule="auto"/>
      </w:pPr>
    </w:p>
    <w:p w:rsidR="00666B8A" w:rsidRDefault="00666B8A" w:rsidP="00A17E0F">
      <w:pPr>
        <w:spacing w:after="0" w:line="240" w:lineRule="auto"/>
      </w:pPr>
      <w:r>
        <w:t xml:space="preserve">Best, Kathy </w:t>
      </w:r>
    </w:p>
    <w:p w:rsidR="00A17E0F" w:rsidRDefault="001A5EE2" w:rsidP="00084396">
      <w:pPr>
        <w:spacing w:after="0" w:line="240" w:lineRule="auto"/>
      </w:pPr>
      <w:r>
        <w:t>----------------</w:t>
      </w:r>
    </w:p>
    <w:p w:rsidR="00391C2D" w:rsidRDefault="00391C2D" w:rsidP="00084396">
      <w:pPr>
        <w:spacing w:after="0" w:line="240" w:lineRule="auto"/>
      </w:pPr>
    </w:p>
    <w:p w:rsidR="001A5EE2" w:rsidRDefault="001A5EE2" w:rsidP="00084396">
      <w:pPr>
        <w:spacing w:after="0" w:line="240" w:lineRule="auto"/>
      </w:pPr>
      <w:r>
        <w:t>Annex:</w:t>
      </w:r>
    </w:p>
    <w:p w:rsidR="00F100E9" w:rsidRDefault="00F100E9" w:rsidP="00084396">
      <w:pPr>
        <w:spacing w:after="0" w:line="240" w:lineRule="auto"/>
      </w:pPr>
    </w:p>
    <w:p w:rsidR="001A5EE2" w:rsidRPr="00666B8A" w:rsidRDefault="00391C2D" w:rsidP="00084396">
      <w:pPr>
        <w:spacing w:after="0" w:line="240" w:lineRule="auto"/>
      </w:pPr>
      <w:r>
        <w:t xml:space="preserve">Suggested edit to </w:t>
      </w:r>
      <w:r w:rsidR="00666B8A">
        <w:t xml:space="preserve">Page 2, </w:t>
      </w:r>
      <w:r w:rsidR="00666B8A" w:rsidRPr="00666B8A">
        <w:rPr>
          <w:rFonts w:ascii="Calibri" w:hAnsi="Calibri"/>
          <w:i/>
          <w:color w:val="000000"/>
        </w:rPr>
        <w:t>Part 1: Purposes for Processing Registration Data</w:t>
      </w:r>
      <w:r w:rsidR="00666B8A">
        <w:rPr>
          <w:rFonts w:ascii="Calibri" w:hAnsi="Calibri"/>
          <w:i/>
          <w:color w:val="000000"/>
        </w:rPr>
        <w:t xml:space="preserve">, </w:t>
      </w:r>
      <w:r w:rsidR="00666B8A">
        <w:rPr>
          <w:rFonts w:ascii="Calibri" w:hAnsi="Calibri"/>
          <w:color w:val="000000"/>
        </w:rPr>
        <w:t xml:space="preserve">please see recommended edits in green: </w:t>
      </w:r>
    </w:p>
    <w:p w:rsidR="00E25BE4" w:rsidRDefault="00E25BE4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84396" w:rsidRDefault="00084396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[</w:t>
      </w:r>
      <w:r w:rsidRPr="00084396">
        <w:rPr>
          <w:rFonts w:ascii="Calibri" w:eastAsia="Times New Roman" w:hAnsi="Calibri" w:cs="Times New Roman"/>
          <w:color w:val="000000"/>
        </w:rPr>
        <w:t xml:space="preserve">Note: </w:t>
      </w:r>
      <w:r w:rsidRPr="00084396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Questions under a) are gating questions for </w:t>
      </w:r>
      <w:r w:rsidRPr="00084396">
        <w:rPr>
          <w:rFonts w:ascii="Calibri" w:eastAsia="Times New Roman" w:hAnsi="Calibri" w:cs="Times New Roman"/>
          <w:strike/>
          <w:color w:val="000000"/>
          <w:shd w:val="clear" w:color="auto" w:fill="FFFF00"/>
        </w:rPr>
        <w:t>Phase 2</w:t>
      </w:r>
      <w:r w:rsidRPr="00084396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the EPDP Team’s discussion of access, in that they must be answered before work on an access model can commence. </w:t>
      </w:r>
      <w:r w:rsidRPr="00084396">
        <w:rPr>
          <w:rFonts w:ascii="Calibri" w:eastAsia="Times New Roman" w:hAnsi="Calibri" w:cs="Times New Roman"/>
          <w:color w:val="000000"/>
        </w:rPr>
        <w:t>They are gating because establishing purposes will inform decisions about how personal registration</w:t>
      </w:r>
      <w:r w:rsidR="00882CC7">
        <w:rPr>
          <w:rFonts w:ascii="Calibri" w:eastAsia="Times New Roman" w:hAnsi="Calibri" w:cs="Times New Roman"/>
          <w:color w:val="000000"/>
        </w:rPr>
        <w:t xml:space="preserve"> </w:t>
      </w:r>
      <w:r w:rsidR="00882CC7">
        <w:rPr>
          <w:rFonts w:ascii="Calibri" w:eastAsia="Times New Roman" w:hAnsi="Calibri" w:cs="Times New Roman"/>
          <w:color w:val="00B050"/>
        </w:rPr>
        <w:t>and sensitive registration</w:t>
      </w:r>
      <w:r w:rsidRPr="00084396">
        <w:rPr>
          <w:rFonts w:ascii="Calibri" w:eastAsia="Times New Roman" w:hAnsi="Calibri" w:cs="Times New Roman"/>
          <w:color w:val="000000"/>
        </w:rPr>
        <w:t xml:space="preserve"> data is processed. Because providing access to non-public personal </w:t>
      </w:r>
      <w:r w:rsidRPr="00084396">
        <w:rPr>
          <w:rFonts w:ascii="Calibri" w:eastAsia="Times New Roman" w:hAnsi="Calibri" w:cs="Times New Roman"/>
          <w:color w:val="00B050"/>
        </w:rPr>
        <w:t xml:space="preserve">and </w:t>
      </w:r>
      <w:r w:rsidR="00666B8A">
        <w:rPr>
          <w:rFonts w:ascii="Calibri" w:eastAsia="Times New Roman" w:hAnsi="Calibri" w:cs="Times New Roman"/>
          <w:color w:val="00B050"/>
        </w:rPr>
        <w:t xml:space="preserve">sensitive </w:t>
      </w:r>
      <w:r w:rsidRPr="00084396">
        <w:rPr>
          <w:rFonts w:ascii="Calibri" w:eastAsia="Times New Roman" w:hAnsi="Calibri" w:cs="Times New Roman"/>
        </w:rPr>
        <w:t xml:space="preserve">registration </w:t>
      </w:r>
      <w:r w:rsidRPr="00084396">
        <w:rPr>
          <w:rFonts w:ascii="Calibri" w:eastAsia="Times New Roman" w:hAnsi="Calibri" w:cs="Times New Roman"/>
          <w:color w:val="000000"/>
        </w:rPr>
        <w:t xml:space="preserve">data is a processing activity, there must be a legitimate purpose(s) with a corresponding legal </w:t>
      </w:r>
      <w:proofErr w:type="gramStart"/>
      <w:r w:rsidRPr="00084396">
        <w:rPr>
          <w:rFonts w:ascii="Calibri" w:eastAsia="Times New Roman" w:hAnsi="Calibri" w:cs="Times New Roman"/>
          <w:color w:val="000000"/>
        </w:rPr>
        <w:t>basis(</w:t>
      </w:r>
      <w:proofErr w:type="spellStart"/>
      <w:proofErr w:type="gramEnd"/>
      <w:r w:rsidRPr="00084396">
        <w:rPr>
          <w:rFonts w:ascii="Calibri" w:eastAsia="Times New Roman" w:hAnsi="Calibri" w:cs="Times New Roman"/>
          <w:color w:val="000000"/>
        </w:rPr>
        <w:t>es</w:t>
      </w:r>
      <w:proofErr w:type="spellEnd"/>
      <w:r w:rsidRPr="00084396">
        <w:rPr>
          <w:rFonts w:ascii="Calibri" w:eastAsia="Times New Roman" w:hAnsi="Calibri" w:cs="Times New Roman"/>
          <w:color w:val="000000"/>
        </w:rPr>
        <w:t>) established.</w:t>
      </w:r>
    </w:p>
    <w:p w:rsidR="00666B8A" w:rsidRDefault="00666B8A" w:rsidP="000843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66B8A" w:rsidRPr="00084396" w:rsidRDefault="00666B8A" w:rsidP="0008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396" w:rsidRPr="00084396" w:rsidRDefault="00666B8A" w:rsidP="0008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F86" w:rsidRDefault="00383539"/>
    <w:sectPr w:rsidR="0045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F4A"/>
    <w:multiLevelType w:val="hybridMultilevel"/>
    <w:tmpl w:val="BF7EC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6"/>
    <w:rsid w:val="00084396"/>
    <w:rsid w:val="001A5EE2"/>
    <w:rsid w:val="00343F78"/>
    <w:rsid w:val="00383539"/>
    <w:rsid w:val="00391C2D"/>
    <w:rsid w:val="004A3D92"/>
    <w:rsid w:val="005E61BB"/>
    <w:rsid w:val="00601384"/>
    <w:rsid w:val="00666B8A"/>
    <w:rsid w:val="00882CC7"/>
    <w:rsid w:val="00A06EEF"/>
    <w:rsid w:val="00A17E0F"/>
    <w:rsid w:val="00E22E43"/>
    <w:rsid w:val="00E25BE4"/>
    <w:rsid w:val="00F100E9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DE94E-BBC1-4DF4-88BB-044AA04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pr-info.eu/art-9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4110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2018-07-10T15:36:00Z</dcterms:created>
  <dcterms:modified xsi:type="dcterms:W3CDTF">2018-07-10T15:36:00Z</dcterms:modified>
</cp:coreProperties>
</file>