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rPr>
      </w:pPr>
      <w:r w:rsidDel="00000000" w:rsidR="00000000" w:rsidRPr="00000000">
        <w:rPr>
          <w:b w:val="1"/>
          <w:rtl w:val="0"/>
        </w:rPr>
        <w:t xml:space="preserve">NCUC Response to NCSG EC questionnaire on constituency review </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1a) What is the purpose of your constituency, as defined in your bylaws? (Preferably both link to your bylaws in the web as well as copy of the relevant text.)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Our current bylaws define the purpose of our constituency as : I(B)</w:t>
      </w:r>
    </w:p>
    <w:p w:rsidR="00000000" w:rsidDel="00000000" w:rsidP="00000000" w:rsidRDefault="00000000" w:rsidRPr="00000000">
      <w:pPr>
        <w:pBdr/>
        <w:contextualSpacing w:val="0"/>
        <w:rPr/>
      </w:pPr>
      <w:r w:rsidDel="00000000" w:rsidR="00000000" w:rsidRPr="00000000">
        <w:rPr>
          <w:rtl w:val="0"/>
        </w:rPr>
        <w:t xml:space="preserve">The purposes of the Noncommercial Users Constituency are to represent the views and interests of those who engage in noncommercial speech and activity on the Internet. It is further created to provide a voice and representation in ICANN processes to non-profit organizations and individuals that serve non-commercial interests and provide services such as education, community organizing, promotion of the arts, public interest policy advocacy, children’s welfare, religion, scientific research, human rights and the advancement of the Internet as a global communications system for all segments of society.</w:t>
      </w:r>
    </w:p>
    <w:p w:rsidR="00000000" w:rsidDel="00000000" w:rsidP="00000000" w:rsidRDefault="00000000" w:rsidRPr="00000000">
      <w:pPr>
        <w:pBdr/>
        <w:contextualSpacing w:val="0"/>
        <w:rPr/>
      </w:pPr>
      <w:hyperlink r:id="rId5">
        <w:r w:rsidDel="00000000" w:rsidR="00000000" w:rsidRPr="00000000">
          <w:rPr>
            <w:color w:val="1155cc"/>
            <w:u w:val="single"/>
            <w:rtl w:val="0"/>
          </w:rPr>
          <w:t xml:space="preserve">http://www.ncuc.org/governance/</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(note: in the new bylaws to be approved by Board, this text has been modified)</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1b) Are all your members also members of NCSG (yes/no)? (This is just formal confirmation that you fulfill  the requirement in NCSG Charter.)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Yes.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1c) What is the the common interest or background of  your membership and the focus of your group?</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Our members include individuals and non-profit organizations involved in civil liberties and human rights, Internet freedom, consumer protection, education, research, development, and many other areas of public policy advocacy. They mainly focus on advancing and advocating for the public interest on the Internet.  The NCUC advocates positions on domain name-related policies that protect and support noncommercial communication and activity on the Internet.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2) Do you have a publicly dynamic, publicly (world-readably) archive  mailing lists and where their archives can be found (URL)? Please provide a brief description of the list(s), in particular  if they are used for actual decision-making or only discussion.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Yes, we have the archives of our mailing lists. Link can be found here: </w:t>
      </w:r>
      <w:hyperlink r:id="rId6">
        <w:r w:rsidDel="00000000" w:rsidR="00000000" w:rsidRPr="00000000">
          <w:rPr>
            <w:color w:val="1155cc"/>
            <w:u w:val="single"/>
            <w:rtl w:val="0"/>
          </w:rPr>
          <w:t xml:space="preserve">http://lists.ncuc.org/cgi-bin/mailman/listinfo</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We also archive our EC meetings here: </w:t>
      </w:r>
      <w:hyperlink r:id="rId7">
        <w:r w:rsidDel="00000000" w:rsidR="00000000" w:rsidRPr="00000000">
          <w:rPr>
            <w:color w:val="1155cc"/>
            <w:u w:val="single"/>
            <w:rtl w:val="0"/>
          </w:rPr>
          <w:t xml:space="preserve">http://www.ncuc.org/about/ec-meeting/</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 If you have other, non-public fora that are used for  decision-making or significant discussions within your  constituency, please describe them as well.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We don’t use non-public channels to make decisions.</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3) Do you participate actively in relevant NCSG and GNSO PDP Working Groups or Work Teams?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Yes. We actively participate in many of GNSO PDP groups but mainly the two groups below. Our members are also active in CCWG- Accountability. Our members are the rapporteurs and co-rapporteurs and members of various groups such as: WS2 on Human rights, WS2 on jurisdiction, WS2 on accountability of SOACs, WS 2 on Diversity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Please provide as complete as possible list of such groups or teams and names of your people who've participated in them over the years 2015 and 2016, noting also any who've been Chairs or Co-Chairs.</w:t>
      </w:r>
    </w:p>
    <w:p w:rsidR="00000000" w:rsidDel="00000000" w:rsidP="00000000" w:rsidRDefault="00000000" w:rsidRPr="00000000">
      <w:pPr>
        <w:pBdr/>
        <w:contextualSpacing w:val="0"/>
        <w:rPr/>
      </w:pPr>
      <w:r w:rsidDel="00000000" w:rsidR="00000000" w:rsidRPr="00000000">
        <w:rPr>
          <w:b w:val="1"/>
          <w:rtl w:val="0"/>
        </w:rPr>
        <w:t xml:space="preserve">RDS</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b w:val="1"/>
          <w:rtl w:val="0"/>
        </w:rPr>
        <w:t xml:space="preserve">David Cake (co-chair)</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Stephanie Perrin </w:t>
      </w:r>
    </w:p>
    <w:p w:rsidR="00000000" w:rsidDel="00000000" w:rsidP="00000000" w:rsidRDefault="00000000" w:rsidRPr="00000000">
      <w:pPr>
        <w:pBdr/>
        <w:contextualSpacing w:val="0"/>
        <w:rPr/>
      </w:pPr>
      <w:r w:rsidDel="00000000" w:rsidR="00000000" w:rsidRPr="00000000">
        <w:rPr>
          <w:rtl w:val="0"/>
        </w:rPr>
        <w:t xml:space="preserve">Ayden Federline </w:t>
      </w:r>
    </w:p>
    <w:p w:rsidR="00000000" w:rsidDel="00000000" w:rsidP="00000000" w:rsidRDefault="00000000" w:rsidRPr="00000000">
      <w:pPr>
        <w:pBdr/>
        <w:contextualSpacing w:val="0"/>
        <w:rPr/>
      </w:pPr>
      <w:r w:rsidDel="00000000" w:rsidR="00000000" w:rsidRPr="00000000">
        <w:rPr>
          <w:rtl w:val="0"/>
        </w:rPr>
        <w:t xml:space="preserve">Aarti Bhavana</w:t>
      </w:r>
    </w:p>
    <w:p w:rsidR="00000000" w:rsidDel="00000000" w:rsidP="00000000" w:rsidRDefault="00000000" w:rsidRPr="00000000">
      <w:pPr>
        <w:pBdr/>
        <w:contextualSpacing w:val="0"/>
        <w:rPr/>
      </w:pPr>
      <w:r w:rsidDel="00000000" w:rsidR="00000000" w:rsidRPr="00000000">
        <w:rPr>
          <w:rtl w:val="0"/>
        </w:rPr>
        <w:t xml:space="preserve">Beatriz Rodriguez</w:t>
      </w:r>
    </w:p>
    <w:p w:rsidR="00000000" w:rsidDel="00000000" w:rsidP="00000000" w:rsidRDefault="00000000" w:rsidRPr="00000000">
      <w:pPr>
        <w:pBdr/>
        <w:contextualSpacing w:val="0"/>
        <w:rPr/>
      </w:pPr>
      <w:r w:rsidDel="00000000" w:rsidR="00000000" w:rsidRPr="00000000">
        <w:rPr>
          <w:rtl w:val="0"/>
        </w:rPr>
        <w:t xml:space="preserve">Jeremy Malcolm</w:t>
      </w:r>
    </w:p>
    <w:p w:rsidR="00000000" w:rsidDel="00000000" w:rsidP="00000000" w:rsidRDefault="00000000" w:rsidRPr="00000000">
      <w:pPr>
        <w:pBdr/>
        <w:contextualSpacing w:val="0"/>
        <w:rPr/>
      </w:pPr>
      <w:r w:rsidDel="00000000" w:rsidR="00000000" w:rsidRPr="00000000">
        <w:rPr>
          <w:rtl w:val="0"/>
        </w:rPr>
        <w:t xml:space="preserve">Joanna Kulesza</w:t>
      </w:r>
    </w:p>
    <w:p w:rsidR="00000000" w:rsidDel="00000000" w:rsidP="00000000" w:rsidRDefault="00000000" w:rsidRPr="00000000">
      <w:pPr>
        <w:pBdr/>
        <w:contextualSpacing w:val="0"/>
        <w:rPr/>
      </w:pPr>
      <w:r w:rsidDel="00000000" w:rsidR="00000000" w:rsidRPr="00000000">
        <w:rPr>
          <w:rtl w:val="0"/>
        </w:rPr>
        <w:t xml:space="preserve">Kannan Ganapathy</w:t>
      </w:r>
    </w:p>
    <w:p w:rsidR="00000000" w:rsidDel="00000000" w:rsidP="00000000" w:rsidRDefault="00000000" w:rsidRPr="00000000">
      <w:pPr>
        <w:pBdr/>
        <w:contextualSpacing w:val="0"/>
        <w:rPr/>
      </w:pPr>
      <w:r w:rsidDel="00000000" w:rsidR="00000000" w:rsidRPr="00000000">
        <w:rPr>
          <w:rtl w:val="0"/>
        </w:rPr>
        <w:t xml:space="preserve">Mahdi Taghizadeh</w:t>
      </w:r>
    </w:p>
    <w:p w:rsidR="00000000" w:rsidDel="00000000" w:rsidP="00000000" w:rsidRDefault="00000000" w:rsidRPr="00000000">
      <w:pPr>
        <w:pBdr/>
        <w:contextualSpacing w:val="0"/>
        <w:rPr/>
      </w:pPr>
      <w:r w:rsidDel="00000000" w:rsidR="00000000" w:rsidRPr="00000000">
        <w:rPr>
          <w:rtl w:val="0"/>
        </w:rPr>
        <w:t xml:space="preserve">Mathias Houngbo</w:t>
      </w:r>
    </w:p>
    <w:p w:rsidR="00000000" w:rsidDel="00000000" w:rsidP="00000000" w:rsidRDefault="00000000" w:rsidRPr="00000000">
      <w:pPr>
        <w:pBdr/>
        <w:contextualSpacing w:val="0"/>
        <w:rPr/>
      </w:pPr>
      <w:r w:rsidDel="00000000" w:rsidR="00000000" w:rsidRPr="00000000">
        <w:rPr>
          <w:rtl w:val="0"/>
        </w:rPr>
        <w:t xml:space="preserve">Monika Zalnieriute</w:t>
      </w:r>
    </w:p>
    <w:p w:rsidR="00000000" w:rsidDel="00000000" w:rsidP="00000000" w:rsidRDefault="00000000" w:rsidRPr="00000000">
      <w:pPr>
        <w:pBdr/>
        <w:contextualSpacing w:val="0"/>
        <w:rPr/>
      </w:pPr>
      <w:r w:rsidDel="00000000" w:rsidR="00000000" w:rsidRPr="00000000">
        <w:rPr>
          <w:rtl w:val="0"/>
        </w:rPr>
        <w:t xml:space="preserve">Patrick Lenihan</w:t>
      </w:r>
    </w:p>
    <w:p w:rsidR="00000000" w:rsidDel="00000000" w:rsidP="00000000" w:rsidRDefault="00000000" w:rsidRPr="00000000">
      <w:pPr>
        <w:pBdr/>
        <w:contextualSpacing w:val="0"/>
        <w:rPr/>
      </w:pPr>
      <w:r w:rsidDel="00000000" w:rsidR="00000000" w:rsidRPr="00000000">
        <w:rPr>
          <w:rtl w:val="0"/>
        </w:rPr>
        <w:t xml:space="preserve">Shane Kerr</w:t>
      </w:r>
    </w:p>
    <w:p w:rsidR="00000000" w:rsidDel="00000000" w:rsidP="00000000" w:rsidRDefault="00000000" w:rsidRPr="00000000">
      <w:pPr>
        <w:pBdr/>
        <w:contextualSpacing w:val="0"/>
        <w:rPr/>
      </w:pPr>
      <w:r w:rsidDel="00000000" w:rsidR="00000000" w:rsidRPr="00000000">
        <w:rPr>
          <w:rtl w:val="0"/>
        </w:rPr>
        <w:t xml:space="preserve">Stefani Milan</w:t>
      </w:r>
    </w:p>
    <w:p w:rsidR="00000000" w:rsidDel="00000000" w:rsidP="00000000" w:rsidRDefault="00000000" w:rsidRPr="00000000">
      <w:pPr>
        <w:pBdr/>
        <w:contextualSpacing w:val="0"/>
        <w:rPr/>
      </w:pPr>
      <w:r w:rsidDel="00000000" w:rsidR="00000000" w:rsidRPr="00000000">
        <w:rPr>
          <w:rtl w:val="0"/>
        </w:rPr>
        <w:t xml:space="preserve">Tan Sze Ming</w:t>
      </w:r>
    </w:p>
    <w:p w:rsidR="00000000" w:rsidDel="00000000" w:rsidP="00000000" w:rsidRDefault="00000000" w:rsidRPr="00000000">
      <w:pPr>
        <w:pBdr/>
        <w:contextualSpacing w:val="0"/>
        <w:rPr/>
      </w:pPr>
      <w:r w:rsidDel="00000000" w:rsidR="00000000" w:rsidRPr="00000000">
        <w:rPr>
          <w:rtl w:val="0"/>
        </w:rPr>
        <w:t xml:space="preserve">Viviane Gomes Vinagre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RPM</w:t>
      </w:r>
    </w:p>
    <w:p w:rsidR="00000000" w:rsidDel="00000000" w:rsidP="00000000" w:rsidRDefault="00000000" w:rsidRPr="00000000">
      <w:pPr>
        <w:pBdr/>
        <w:contextualSpacing w:val="0"/>
        <w:rPr>
          <w:sz w:val="21"/>
          <w:szCs w:val="21"/>
          <w:highlight w:val="white"/>
        </w:rPr>
      </w:pPr>
      <w:r w:rsidDel="00000000" w:rsidR="00000000" w:rsidRPr="00000000">
        <w:rPr>
          <w:sz w:val="21"/>
          <w:szCs w:val="21"/>
          <w:highlight w:val="white"/>
          <w:rtl w:val="0"/>
        </w:rPr>
        <w:t xml:space="preserve">Benjamin Akinmoyeje</w:t>
      </w:r>
    </w:p>
    <w:p w:rsidR="00000000" w:rsidDel="00000000" w:rsidP="00000000" w:rsidRDefault="00000000" w:rsidRPr="00000000">
      <w:pPr>
        <w:pBdr/>
        <w:contextualSpacing w:val="0"/>
        <w:rPr>
          <w:sz w:val="21"/>
          <w:szCs w:val="21"/>
          <w:highlight w:val="white"/>
        </w:rPr>
      </w:pPr>
      <w:r w:rsidDel="00000000" w:rsidR="00000000" w:rsidRPr="00000000">
        <w:rPr>
          <w:sz w:val="21"/>
          <w:szCs w:val="21"/>
          <w:highlight w:val="white"/>
          <w:rtl w:val="0"/>
        </w:rPr>
        <w:t xml:space="preserve">Farzaneh Badiei (Badii)</w:t>
      </w:r>
    </w:p>
    <w:p w:rsidR="00000000" w:rsidDel="00000000" w:rsidP="00000000" w:rsidRDefault="00000000" w:rsidRPr="00000000">
      <w:pPr>
        <w:pBdr/>
        <w:contextualSpacing w:val="0"/>
        <w:rPr>
          <w:sz w:val="21"/>
          <w:szCs w:val="21"/>
          <w:highlight w:val="white"/>
        </w:rPr>
      </w:pPr>
      <w:r w:rsidDel="00000000" w:rsidR="00000000" w:rsidRPr="00000000">
        <w:rPr>
          <w:sz w:val="21"/>
          <w:szCs w:val="21"/>
          <w:highlight w:val="white"/>
          <w:rtl w:val="0"/>
        </w:rPr>
        <w:t xml:space="preserve">Huthaifa Mohammad Albustanji</w:t>
      </w:r>
    </w:p>
    <w:p w:rsidR="00000000" w:rsidDel="00000000" w:rsidP="00000000" w:rsidRDefault="00000000" w:rsidRPr="00000000">
      <w:pPr>
        <w:pBdr/>
        <w:contextualSpacing w:val="0"/>
        <w:rPr>
          <w:sz w:val="21"/>
          <w:szCs w:val="21"/>
          <w:highlight w:val="white"/>
        </w:rPr>
      </w:pPr>
      <w:r w:rsidDel="00000000" w:rsidR="00000000" w:rsidRPr="00000000">
        <w:rPr>
          <w:sz w:val="21"/>
          <w:szCs w:val="21"/>
          <w:highlight w:val="white"/>
          <w:rtl w:val="0"/>
        </w:rPr>
        <w:t xml:space="preserve">Michael Karanikolas</w:t>
      </w:r>
    </w:p>
    <w:p w:rsidR="00000000" w:rsidDel="00000000" w:rsidP="00000000" w:rsidRDefault="00000000" w:rsidRPr="00000000">
      <w:pPr>
        <w:pBdr/>
        <w:contextualSpacing w:val="0"/>
        <w:rPr>
          <w:sz w:val="21"/>
          <w:szCs w:val="21"/>
          <w:highlight w:val="white"/>
        </w:rPr>
      </w:pPr>
      <w:r w:rsidDel="00000000" w:rsidR="00000000" w:rsidRPr="00000000">
        <w:rPr>
          <w:sz w:val="21"/>
          <w:szCs w:val="21"/>
          <w:highlight w:val="white"/>
          <w:rtl w:val="0"/>
        </w:rPr>
        <w:t xml:space="preserve">Sarah Clayton</w:t>
      </w:r>
    </w:p>
    <w:p w:rsidR="00000000" w:rsidDel="00000000" w:rsidP="00000000" w:rsidRDefault="00000000" w:rsidRPr="00000000">
      <w:pPr>
        <w:pBdr/>
        <w:contextualSpacing w:val="0"/>
        <w:rPr>
          <w:sz w:val="21"/>
          <w:szCs w:val="21"/>
          <w:highlight w:val="white"/>
        </w:rPr>
      </w:pPr>
      <w:r w:rsidDel="00000000" w:rsidR="00000000" w:rsidRPr="00000000">
        <w:rPr>
          <w:sz w:val="21"/>
          <w:szCs w:val="21"/>
          <w:highlight w:val="white"/>
          <w:rtl w:val="0"/>
        </w:rPr>
        <w:t xml:space="preserve">Robin Gross</w:t>
      </w:r>
    </w:p>
    <w:p w:rsidR="00000000" w:rsidDel="00000000" w:rsidP="00000000" w:rsidRDefault="00000000" w:rsidRPr="00000000">
      <w:pPr>
        <w:pBdr/>
        <w:contextualSpacing w:val="0"/>
        <w:rPr>
          <w:sz w:val="21"/>
          <w:szCs w:val="21"/>
          <w:highlight w:val="white"/>
        </w:rPr>
      </w:pPr>
      <w:r w:rsidDel="00000000" w:rsidR="00000000" w:rsidRPr="00000000">
        <w:rPr>
          <w:sz w:val="21"/>
          <w:szCs w:val="21"/>
          <w:highlight w:val="white"/>
          <w:rtl w:val="0"/>
        </w:rPr>
        <w:t xml:space="preserve">Sonigitu Ekpe</w:t>
      </w:r>
    </w:p>
    <w:p w:rsidR="00000000" w:rsidDel="00000000" w:rsidP="00000000" w:rsidRDefault="00000000" w:rsidRPr="00000000">
      <w:pPr>
        <w:pBdr/>
        <w:contextualSpacing w:val="0"/>
        <w:rPr>
          <w:sz w:val="21"/>
          <w:szCs w:val="21"/>
          <w:highlight w:val="white"/>
        </w:rPr>
      </w:pPr>
      <w:r w:rsidDel="00000000" w:rsidR="00000000" w:rsidRPr="00000000">
        <w:rPr>
          <w:sz w:val="21"/>
          <w:szCs w:val="21"/>
          <w:highlight w:val="white"/>
          <w:rtl w:val="0"/>
        </w:rPr>
        <w:t xml:space="preserve">Yuri Chumak</w:t>
      </w:r>
    </w:p>
    <w:p w:rsidR="00000000" w:rsidDel="00000000" w:rsidP="00000000" w:rsidRDefault="00000000" w:rsidRPr="00000000">
      <w:pPr>
        <w:pBdr/>
        <w:contextualSpacing w:val="0"/>
        <w:rPr>
          <w:sz w:val="21"/>
          <w:szCs w:val="21"/>
          <w:highlight w:val="white"/>
        </w:rPr>
      </w:pPr>
      <w:r w:rsidDel="00000000" w:rsidR="00000000" w:rsidRPr="00000000">
        <w:rPr>
          <w:rtl w:val="0"/>
        </w:rPr>
      </w:r>
    </w:p>
    <w:p w:rsidR="00000000" w:rsidDel="00000000" w:rsidP="00000000" w:rsidRDefault="00000000" w:rsidRPr="00000000">
      <w:pPr>
        <w:pBdr/>
        <w:contextualSpacing w:val="0"/>
        <w:rPr>
          <w:sz w:val="21"/>
          <w:szCs w:val="21"/>
          <w:highlight w:val="white"/>
        </w:rPr>
      </w:pPr>
      <w:hyperlink r:id="rId8">
        <w:r w:rsidDel="00000000" w:rsidR="00000000" w:rsidRPr="00000000">
          <w:rPr>
            <w:color w:val="1155cc"/>
            <w:sz w:val="21"/>
            <w:szCs w:val="21"/>
            <w:highlight w:val="white"/>
            <w:u w:val="single"/>
            <w:rtl w:val="0"/>
          </w:rPr>
          <w:t xml:space="preserve">https://community.icann.org/pages/viewpage.action?pageId=58729950</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New gTLD subsequent procedure</w:t>
      </w:r>
    </w:p>
    <w:p w:rsidR="00000000" w:rsidDel="00000000" w:rsidP="00000000" w:rsidRDefault="00000000" w:rsidRPr="00000000">
      <w:pPr>
        <w:pBdr/>
        <w:contextualSpacing w:val="0"/>
        <w:rPr>
          <w:b w:val="1"/>
        </w:rPr>
      </w:pPr>
      <w:r w:rsidDel="00000000" w:rsidR="00000000" w:rsidRPr="00000000">
        <w:rPr>
          <w:b w:val="1"/>
          <w:rtl w:val="0"/>
        </w:rPr>
        <w:t xml:space="preserve">https://community.icann.org/pages/viewpage.action?pageId=58001978</w:t>
      </w:r>
    </w:p>
    <w:p w:rsidR="00000000" w:rsidDel="00000000" w:rsidP="00000000" w:rsidRDefault="00000000" w:rsidRPr="00000000">
      <w:pPr>
        <w:pBdr/>
        <w:contextualSpacing w:val="0"/>
        <w:rPr/>
      </w:pPr>
      <w:r w:rsidDel="00000000" w:rsidR="00000000" w:rsidRPr="00000000">
        <w:rPr>
          <w:rtl w:val="0"/>
        </w:rPr>
        <w:t xml:space="preserve">Christopher Dennett</w:t>
      </w:r>
    </w:p>
    <w:p w:rsidR="00000000" w:rsidDel="00000000" w:rsidP="00000000" w:rsidRDefault="00000000" w:rsidRPr="00000000">
      <w:pPr>
        <w:pBdr/>
        <w:contextualSpacing w:val="0"/>
        <w:rPr/>
      </w:pPr>
      <w:r w:rsidDel="00000000" w:rsidR="00000000" w:rsidRPr="00000000">
        <w:rPr>
          <w:rtl w:val="0"/>
        </w:rPr>
        <w:t xml:space="preserve">Farzaneh Badii (Badiei)</w:t>
      </w:r>
    </w:p>
    <w:p w:rsidR="00000000" w:rsidDel="00000000" w:rsidP="00000000" w:rsidRDefault="00000000" w:rsidRPr="00000000">
      <w:pPr>
        <w:pBdr/>
        <w:contextualSpacing w:val="0"/>
        <w:rPr/>
      </w:pPr>
      <w:r w:rsidDel="00000000" w:rsidR="00000000" w:rsidRPr="00000000">
        <w:rPr>
          <w:rtl w:val="0"/>
        </w:rPr>
        <w:t xml:space="preserve">Jean Gillon</w:t>
      </w:r>
    </w:p>
    <w:p w:rsidR="00000000" w:rsidDel="00000000" w:rsidP="00000000" w:rsidRDefault="00000000" w:rsidRPr="00000000">
      <w:pPr>
        <w:pBdr/>
        <w:contextualSpacing w:val="0"/>
        <w:rPr/>
      </w:pPr>
      <w:r w:rsidDel="00000000" w:rsidR="00000000" w:rsidRPr="00000000">
        <w:rPr>
          <w:rtl w:val="0"/>
        </w:rPr>
        <w:t xml:space="preserve">Marillia Maciel</w:t>
      </w:r>
    </w:p>
    <w:p w:rsidR="00000000" w:rsidDel="00000000" w:rsidP="00000000" w:rsidRDefault="00000000" w:rsidRPr="00000000">
      <w:pPr>
        <w:pBdr/>
        <w:contextualSpacing w:val="0"/>
        <w:rPr/>
      </w:pPr>
      <w:r w:rsidDel="00000000" w:rsidR="00000000" w:rsidRPr="00000000">
        <w:rPr>
          <w:rtl w:val="0"/>
        </w:rPr>
        <w:t xml:space="preserve">Monika Zalnieriute</w:t>
      </w:r>
    </w:p>
    <w:p w:rsidR="00000000" w:rsidDel="00000000" w:rsidP="00000000" w:rsidRDefault="00000000" w:rsidRPr="00000000">
      <w:pPr>
        <w:pBdr/>
        <w:contextualSpacing w:val="0"/>
        <w:rPr/>
      </w:pPr>
      <w:r w:rsidDel="00000000" w:rsidR="00000000" w:rsidRPr="00000000">
        <w:rPr>
          <w:rtl w:val="0"/>
        </w:rPr>
        <w:t xml:space="preserve">Rafik Dammak</w:t>
      </w:r>
    </w:p>
    <w:p w:rsidR="00000000" w:rsidDel="00000000" w:rsidP="00000000" w:rsidRDefault="00000000" w:rsidRPr="00000000">
      <w:pPr>
        <w:pBdr/>
        <w:contextualSpacing w:val="0"/>
        <w:rPr/>
      </w:pPr>
      <w:r w:rsidDel="00000000" w:rsidR="00000000" w:rsidRPr="00000000">
        <w:rPr>
          <w:rtl w:val="0"/>
        </w:rPr>
        <w:t xml:space="preserve">Renata Aquino</w:t>
      </w:r>
    </w:p>
    <w:p w:rsidR="00000000" w:rsidDel="00000000" w:rsidP="00000000" w:rsidRDefault="00000000" w:rsidRPr="00000000">
      <w:pPr>
        <w:pBdr/>
        <w:contextualSpacing w:val="0"/>
        <w:rPr/>
      </w:pPr>
      <w:r w:rsidDel="00000000" w:rsidR="00000000" w:rsidRPr="00000000">
        <w:rPr>
          <w:rtl w:val="0"/>
        </w:rPr>
        <w:t xml:space="preserve">Stefania Milan</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4) Have you participated actively in submitting comments and other policy statements to the NCSG and GNSO?</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Yes.  Our members are generally the penholders of NCSG public comments.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Please provide as complete list as possible of such comments  and statements you've made during 2015-2016, with links to where they've been published.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t xml:space="preserve">The public comments are usually kept here: </w:t>
      </w:r>
      <w:hyperlink r:id="rId9">
        <w:r w:rsidDel="00000000" w:rsidR="00000000" w:rsidRPr="00000000">
          <w:rPr>
            <w:color w:val="1155cc"/>
            <w:u w:val="single"/>
            <w:rtl w:val="0"/>
          </w:rPr>
          <w:t xml:space="preserve">http://oldwww.ncuc.org/policy/public-comments/</w:t>
        </w:r>
      </w:hyperlink>
      <w:r w:rsidDel="00000000" w:rsidR="00000000" w:rsidRPr="00000000">
        <w:rPr>
          <w:rtl w:val="0"/>
        </w:rPr>
        <w:t xml:space="preserve"> we are in the process of transferring our website and they will soon appear on our website: </w:t>
      </w:r>
      <w:hyperlink r:id="rId10">
        <w:r w:rsidDel="00000000" w:rsidR="00000000" w:rsidRPr="00000000">
          <w:rPr>
            <w:b w:val="1"/>
            <w:color w:val="1155cc"/>
            <w:u w:val="single"/>
            <w:rtl w:val="0"/>
          </w:rPr>
          <w:t xml:space="preserve">www.ncuc.org</w:t>
        </w:r>
      </w:hyperlink>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NCSG comment on improving ICANN transparency ( Penholder: Matthew Shears, NCUC member) </w:t>
      </w:r>
      <w:hyperlink r:id="rId11">
        <w:r w:rsidDel="00000000" w:rsidR="00000000" w:rsidRPr="00000000">
          <w:rPr>
            <w:color w:val="1155cc"/>
            <w:u w:val="single"/>
            <w:rtl w:val="0"/>
          </w:rPr>
          <w:t xml:space="preserve">http://mm.icann.org/pipermail/comments-ccwg-acct-draft-recs-21feb17-en/attachments/20170422/a48e2142/NCSGcommentsontheCCWG-AccountabilityWorkStream2DraftRecommendationstoimproveICANNstransparency-0001.pdf</w:t>
        </w:r>
      </w:hyperlink>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NCSG comment on ICANN proposed anti harassment policy (Penholder: Corine Kath/NCUC member)</w:t>
      </w:r>
      <w:hyperlink r:id="rId12">
        <w:r w:rsidDel="00000000" w:rsidR="00000000" w:rsidRPr="00000000">
          <w:rPr>
            <w:color w:val="1155cc"/>
            <w:u w:val="single"/>
            <w:rtl w:val="0"/>
          </w:rPr>
          <w:t xml:space="preserve">https://forum.icann.org/lists/comments-anti-harassment-07nov16/pdfesJjDUSnjV.pdf</w:t>
        </w:r>
      </w:hyperlink>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NCSG comment on at large review, led by (penholder: Ayden Feredeline/ NCUC member) </w:t>
      </w:r>
      <w:hyperlink r:id="rId13">
        <w:r w:rsidDel="00000000" w:rsidR="00000000" w:rsidRPr="00000000">
          <w:rPr>
            <w:color w:val="1155cc"/>
            <w:u w:val="single"/>
            <w:rtl w:val="0"/>
          </w:rPr>
          <w:t xml:space="preserve">https://forum.icann.org/lists/comments-atlarge-review-draft-report-01feb17/pdfujiZVtzyUS.pdf</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Please also describe the process your constituency uses to make and agree on public comments: How is it done?  If any non-members participate, how is that handled?</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We are in the course of drafting  a complete procedural rules on issuance of public comments. Our ad hoc process is as below:</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An NCUC member volunteers for becoming a pen holder for a public comment </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The member usually posts the comment on NCSG list </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NCSG will be given some time to comment, the penholder should actively resolve the comments and respond to them</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After the deadline for comments, the penholder sends the comment to NCSG PC</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NCSG PC approves or denies</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NCUC EC has the capacity to approve a public comment to be submitted on behalf of NCUC if such request is received by the NCUC penholder</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We do not allow nonmembers to approve a public comment but if some other stakeholder groups have a public comment that NCUC sees appropriate to endorse, it will discuss on the mailing list and on EC and decide on endorsement.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5) Do you have a list of your current membership publicly visible in the web? If so, where (URL)?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Yes: </w:t>
      </w:r>
      <w:hyperlink r:id="rId14">
        <w:r w:rsidDel="00000000" w:rsidR="00000000" w:rsidRPr="00000000">
          <w:rPr>
            <w:color w:val="1155cc"/>
            <w:u w:val="single"/>
            <w:rtl w:val="0"/>
          </w:rPr>
          <w:t xml:space="preserve">http://www.ncuc.org/about/membership/</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Do you have at least 10 participants who've signed up to an updated SOI?</w:t>
      </w:r>
    </w:p>
    <w:p w:rsidR="00000000" w:rsidDel="00000000" w:rsidP="00000000" w:rsidRDefault="00000000" w:rsidRPr="00000000">
      <w:pPr>
        <w:pBdr/>
        <w:contextualSpacing w:val="0"/>
        <w:rPr/>
      </w:pPr>
      <w:r w:rsidDel="00000000" w:rsidR="00000000" w:rsidRPr="00000000">
        <w:rPr>
          <w:rtl w:val="0"/>
        </w:rPr>
        <w:t xml:space="preserve">Yes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If your public member list does not have links to SOIs, please provide a list (links to SOIs) of at least 10  of your members.</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You can see the link to the SOI of 30 of our members on this RDS link: </w:t>
      </w:r>
      <w:hyperlink r:id="rId15">
        <w:r w:rsidDel="00000000" w:rsidR="00000000" w:rsidRPr="00000000">
          <w:rPr>
            <w:color w:val="1155cc"/>
            <w:u w:val="single"/>
            <w:rtl w:val="0"/>
          </w:rPr>
          <w:t xml:space="preserve">https://community.icann.org/pages/viewpage.action?pageId=58001978</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footerReference r:id="rId1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mm.icann.org/pipermail/comments-ccwg-acct-draft-recs-21feb17-en/attachments/20170422/a48e2142/NCSGcommentsontheCCWG-AccountabilityWorkStream2DraftRecommendationstoimproveICANNstransparency-0001.pdf" TargetMode="External"/><Relationship Id="rId10" Type="http://schemas.openxmlformats.org/officeDocument/2006/relationships/hyperlink" Target="http://www.ncuc.org" TargetMode="External"/><Relationship Id="rId13" Type="http://schemas.openxmlformats.org/officeDocument/2006/relationships/hyperlink" Target="https://forum.icann.org/lists/comments-atlarge-review-draft-report-01feb17/pdfujiZVtzyUS.pdf" TargetMode="External"/><Relationship Id="rId12" Type="http://schemas.openxmlformats.org/officeDocument/2006/relationships/hyperlink" Target="https://forum.icann.org/lists/comments-anti-harassment-07nov16/pdfesJjDUSnjV.pdf"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oldwww.ncuc.org/policy/public-comments/" TargetMode="External"/><Relationship Id="rId15" Type="http://schemas.openxmlformats.org/officeDocument/2006/relationships/hyperlink" Target="https://community.icann.org/pages/viewpage.action?pageId=58001978" TargetMode="External"/><Relationship Id="rId14" Type="http://schemas.openxmlformats.org/officeDocument/2006/relationships/hyperlink" Target="http://www.ncuc.org/about/membership/" TargetMode="External"/><Relationship Id="rId16" Type="http://schemas.openxmlformats.org/officeDocument/2006/relationships/footer" Target="footer1.xml"/><Relationship Id="rId5" Type="http://schemas.openxmlformats.org/officeDocument/2006/relationships/hyperlink" Target="http://www.ncuc.org/governance/" TargetMode="External"/><Relationship Id="rId6" Type="http://schemas.openxmlformats.org/officeDocument/2006/relationships/hyperlink" Target="http://lists.ncuc.org/cgi-bin/mailman/listinfo" TargetMode="External"/><Relationship Id="rId7" Type="http://schemas.openxmlformats.org/officeDocument/2006/relationships/hyperlink" Target="http://www.ncuc.org/about/ec-meeting/" TargetMode="External"/><Relationship Id="rId8" Type="http://schemas.openxmlformats.org/officeDocument/2006/relationships/hyperlink" Target="https://community.icann.org/pages/viewpage.action?pageId=58729950" TargetMode="External"/></Relationships>
</file>