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ICANN Bylaws Section 11.3(f): Board Seat 13 and 14 Selection Process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(f) The GNSO shall nominate by written ballot or by action at a meeting individuals to fill Seats 13 and 14 on the Board. Each of the two voting Houses of the GNSO, as described in </w:t>
      </w:r>
      <w:r w:rsidDel="00000000" w:rsidR="00000000" w:rsidRPr="00000000">
        <w:rPr>
          <w:color w:val="333333"/>
          <w:sz w:val="24"/>
          <w:szCs w:val="24"/>
          <w:highlight w:val="white"/>
          <w:u w:val="single"/>
          <w:rtl w:val="0"/>
        </w:rPr>
        <w:t xml:space="preserve">Section 11.3(h)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shall make a nomination to fill one of two Board seats, as outlined below; any such nomination must have affirmative votes compromising sixty percent (60%) of all the respective voting House members: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(i) the Contracted Parties House (as described in </w:t>
      </w:r>
      <w:r w:rsidDel="00000000" w:rsidR="00000000" w:rsidRPr="00000000">
        <w:rPr>
          <w:color w:val="333333"/>
          <w:sz w:val="24"/>
          <w:szCs w:val="24"/>
          <w:highlight w:val="white"/>
          <w:u w:val="single"/>
          <w:rtl w:val="0"/>
        </w:rPr>
        <w:t xml:space="preserve">Section 11.3(h)(i)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) shall select a representative to fill Seat 13; and</w:t>
      </w:r>
    </w:p>
    <w:p w:rsidR="00000000" w:rsidDel="00000000" w:rsidP="00000000" w:rsidRDefault="00000000" w:rsidRPr="00000000">
      <w:pPr>
        <w:spacing w:after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(ii) the Non-Contracted Parties House (as described in </w:t>
      </w:r>
      <w:r w:rsidDel="00000000" w:rsidR="00000000" w:rsidRPr="00000000">
        <w:rPr>
          <w:color w:val="333333"/>
          <w:sz w:val="24"/>
          <w:szCs w:val="24"/>
          <w:highlight w:val="white"/>
          <w:u w:val="single"/>
          <w:rtl w:val="0"/>
        </w:rPr>
        <w:t xml:space="preserve">Section 11.3(h)(ii)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) shall select a representative to fill Seat 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Election procedures are defined in the GNSO Operating Procedures.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Notification of the Board seat nominations shall be given by the GNSO Chair in writing to the EC Administration, with a copy to the Secretary, and the EC shall promptly act on it as provided in </w:t>
      </w:r>
      <w:r w:rsidDel="00000000" w:rsidR="00000000" w:rsidRPr="00000000">
        <w:rPr>
          <w:color w:val="333333"/>
          <w:sz w:val="24"/>
          <w:szCs w:val="24"/>
          <w:highlight w:val="white"/>
          <w:u w:val="single"/>
          <w:rtl w:val="0"/>
        </w:rPr>
        <w:t xml:space="preserve">Section 7.25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===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(h) Except as otherwise required in these Bylaws, for voting purposes, the GNSO Council (see </w:t>
      </w:r>
      <w:r w:rsidDel="00000000" w:rsidR="00000000" w:rsidRPr="00000000">
        <w:rPr>
          <w:color w:val="333333"/>
          <w:sz w:val="24"/>
          <w:szCs w:val="24"/>
          <w:highlight w:val="white"/>
          <w:u w:val="single"/>
          <w:rtl w:val="0"/>
        </w:rPr>
        <w:t xml:space="preserve">Section 11.3(a)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) shall be organized into a bicameral House structure as described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(i) the Contracted Parties House includes the Registries Stakeholder Group (three members), the Registrars Stakeholder Group (three members), and one voting member appointed by the ICANN Nominating Committee for a total of seven voting members; and</w:t>
      </w:r>
    </w:p>
    <w:p w:rsidR="00000000" w:rsidDel="00000000" w:rsidP="00000000" w:rsidRDefault="00000000" w:rsidRPr="00000000">
      <w:pPr>
        <w:spacing w:after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(ii) the Non Contracted Parties House includes the Commercial Stakeholder Group (six members), the Non-Commercial Stakeholder Group (six members), and one voting member appointed by the ICANN Nominating Committee to that House for a total of thirteen voting members.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Except as otherwise specified in these Bylaws, each member of a voting House is entitled to cast one vote in each separate matter before the GNSO Council.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