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F345D" w14:textId="77777777" w:rsidR="00ED40D2" w:rsidRDefault="00ED40D2"/>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475"/>
        <w:gridCol w:w="6885"/>
      </w:tblGrid>
      <w:tr w:rsidR="00ED40D2" w14:paraId="3A4E14C3" w14:textId="77777777">
        <w:trPr>
          <w:trHeight w:val="441"/>
        </w:trPr>
        <w:tc>
          <w:tcPr>
            <w:tcW w:w="9360" w:type="dxa"/>
            <w:gridSpan w:val="2"/>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25B8B6EB" w14:textId="5533D41A" w:rsidR="00ED40D2" w:rsidRDefault="00A62ECA">
            <w:pPr>
              <w:jc w:val="center"/>
              <w:rPr>
                <w:rFonts w:ascii="Calibri" w:eastAsia="Calibri" w:hAnsi="Calibri" w:cs="Calibri"/>
                <w:b/>
                <w:sz w:val="24"/>
                <w:szCs w:val="24"/>
              </w:rPr>
            </w:pPr>
            <w:r>
              <w:rPr>
                <w:rFonts w:ascii="Calibri" w:eastAsia="Calibri" w:hAnsi="Calibri" w:cs="Calibri"/>
                <w:b/>
                <w:sz w:val="24"/>
                <w:szCs w:val="24"/>
              </w:rPr>
              <w:t>GNSO Guidance Process (GGP)</w:t>
            </w:r>
            <w:r w:rsidR="008C6FA8">
              <w:rPr>
                <w:rStyle w:val="FootnoteReference"/>
                <w:rFonts w:ascii="Calibri" w:eastAsia="Calibri" w:hAnsi="Calibri" w:cs="Calibri"/>
                <w:b/>
                <w:sz w:val="24"/>
                <w:szCs w:val="24"/>
              </w:rPr>
              <w:footnoteReference w:id="1"/>
            </w:r>
            <w:r>
              <w:rPr>
                <w:rFonts w:ascii="Calibri" w:eastAsia="Calibri" w:hAnsi="Calibri" w:cs="Calibri"/>
                <w:b/>
                <w:sz w:val="24"/>
                <w:szCs w:val="24"/>
              </w:rPr>
              <w:t xml:space="preserve"> </w:t>
            </w:r>
            <w:r w:rsidR="008C5630">
              <w:rPr>
                <w:rFonts w:ascii="Calibri" w:eastAsia="Calibri" w:hAnsi="Calibri" w:cs="Calibri"/>
                <w:b/>
                <w:sz w:val="24"/>
                <w:szCs w:val="24"/>
              </w:rPr>
              <w:t>Initiation Request</w:t>
            </w:r>
            <w:r>
              <w:rPr>
                <w:rFonts w:ascii="Calibri" w:eastAsia="Calibri" w:hAnsi="Calibri" w:cs="Calibri"/>
                <w:b/>
                <w:sz w:val="24"/>
                <w:szCs w:val="24"/>
              </w:rPr>
              <w:t xml:space="preserve"> for Select New gTLD Subsequent Procedures Topics</w:t>
            </w:r>
          </w:p>
        </w:tc>
      </w:tr>
      <w:tr w:rsidR="00ED40D2" w14:paraId="73DDC013" w14:textId="77777777">
        <w:trPr>
          <w:trHeight w:val="785"/>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607F49F0" w14:textId="129DFA2B" w:rsidR="00ED40D2" w:rsidRDefault="006330C7">
            <w:pPr>
              <w:spacing w:line="240" w:lineRule="auto"/>
              <w:rPr>
                <w:rFonts w:ascii="Calibri" w:eastAsia="Calibri" w:hAnsi="Calibri" w:cs="Calibri"/>
                <w:b/>
              </w:rPr>
            </w:pPr>
            <w:r>
              <w:rPr>
                <w:rFonts w:ascii="Calibri" w:eastAsia="Calibri" w:hAnsi="Calibri" w:cs="Calibri"/>
                <w:b/>
              </w:rPr>
              <w:t>1</w:t>
            </w:r>
            <w:r w:rsidR="008C5630">
              <w:rPr>
                <w:rFonts w:ascii="Calibri" w:eastAsia="Calibri" w:hAnsi="Calibri" w:cs="Calibri"/>
                <w:b/>
              </w:rPr>
              <w:t>.</w:t>
            </w:r>
            <w:r w:rsidR="008C5630">
              <w:rPr>
                <w:rFonts w:ascii="Calibri" w:eastAsia="Calibri" w:hAnsi="Calibri" w:cs="Calibri"/>
              </w:rPr>
              <w:t xml:space="preserve"> </w:t>
            </w:r>
            <w:r w:rsidR="008C5630">
              <w:rPr>
                <w:rFonts w:ascii="Calibri" w:eastAsia="Calibri" w:hAnsi="Calibri" w:cs="Calibri"/>
                <w:b/>
              </w:rPr>
              <w:t>Name of Council Member/SG/C</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4478DF" w14:textId="09C0A2AF" w:rsidR="00ED40D2" w:rsidRDefault="008C5630">
            <w:pPr>
              <w:rPr>
                <w:rFonts w:ascii="Calibri" w:eastAsia="Calibri" w:hAnsi="Calibri" w:cs="Calibri"/>
              </w:rPr>
            </w:pPr>
            <w:r>
              <w:rPr>
                <w:rFonts w:ascii="Calibri" w:eastAsia="Calibri" w:hAnsi="Calibri" w:cs="Calibri"/>
              </w:rPr>
              <w:t xml:space="preserve">This Initiation Request is submitted to the GNSO Council by </w:t>
            </w:r>
            <w:r w:rsidR="006330C7" w:rsidRPr="006330C7">
              <w:rPr>
                <w:rFonts w:ascii="Calibri" w:eastAsia="Calibri" w:hAnsi="Calibri" w:cs="Calibri"/>
                <w:highlight w:val="yellow"/>
              </w:rPr>
              <w:t>TBD</w:t>
            </w:r>
          </w:p>
        </w:tc>
      </w:tr>
      <w:tr w:rsidR="00ED40D2" w14:paraId="77D75E10" w14:textId="77777777">
        <w:trPr>
          <w:trHeight w:val="1005"/>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1D1E9A88" w14:textId="0EAE054A" w:rsidR="00ED40D2" w:rsidRDefault="006330C7">
            <w:pPr>
              <w:spacing w:line="240" w:lineRule="auto"/>
              <w:rPr>
                <w:rFonts w:ascii="Calibri" w:eastAsia="Calibri" w:hAnsi="Calibri" w:cs="Calibri"/>
                <w:b/>
              </w:rPr>
            </w:pPr>
            <w:r>
              <w:rPr>
                <w:rFonts w:ascii="Calibri" w:eastAsia="Calibri" w:hAnsi="Calibri" w:cs="Calibri"/>
                <w:b/>
              </w:rPr>
              <w:t>2</w:t>
            </w:r>
            <w:r w:rsidR="008C5630">
              <w:rPr>
                <w:rFonts w:ascii="Calibri" w:eastAsia="Calibri" w:hAnsi="Calibri" w:cs="Calibri"/>
                <w:b/>
              </w:rPr>
              <w:t>. Origin of issue (</w:t>
            </w:r>
            <w:proofErr w:type="gramStart"/>
            <w:r w:rsidR="008C5630">
              <w:rPr>
                <w:rFonts w:ascii="Calibri" w:eastAsia="Calibri" w:hAnsi="Calibri" w:cs="Calibri"/>
                <w:b/>
              </w:rPr>
              <w:t>e.g.</w:t>
            </w:r>
            <w:proofErr w:type="gramEnd"/>
            <w:r w:rsidR="008C5630">
              <w:rPr>
                <w:rFonts w:ascii="Calibri" w:eastAsia="Calibri" w:hAnsi="Calibri" w:cs="Calibri"/>
                <w:b/>
              </w:rPr>
              <w:t xml:space="preserve"> </w:t>
            </w:r>
            <w:r w:rsidR="00A62ECA">
              <w:rPr>
                <w:rFonts w:ascii="Calibri" w:eastAsia="Calibri" w:hAnsi="Calibri" w:cs="Calibri"/>
                <w:b/>
              </w:rPr>
              <w:t>board request</w:t>
            </w:r>
            <w:r w:rsidR="008C5630">
              <w:rPr>
                <w:rFonts w:ascii="Calibri" w:eastAsia="Calibri" w:hAnsi="Calibri" w:cs="Calibri"/>
                <w:b/>
              </w:rPr>
              <w:t>)</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7CA7B7" w14:textId="4A11BEAB" w:rsidR="0000386C" w:rsidRDefault="00960C90" w:rsidP="0000386C">
            <w:r>
              <w:rPr>
                <w:rFonts w:ascii="Calibri" w:eastAsia="Calibri" w:hAnsi="Calibri" w:cs="Calibri"/>
              </w:rPr>
              <w:t>The New gTLD Subsequent Procedures</w:t>
            </w:r>
            <w:r w:rsidR="0000386C">
              <w:rPr>
                <w:rFonts w:ascii="Calibri" w:eastAsia="Calibri" w:hAnsi="Calibri" w:cs="Calibri"/>
              </w:rPr>
              <w:t xml:space="preserve"> (SubPro)</w:t>
            </w:r>
            <w:r>
              <w:rPr>
                <w:rFonts w:ascii="Calibri" w:eastAsia="Calibri" w:hAnsi="Calibri" w:cs="Calibri"/>
              </w:rPr>
              <w:t xml:space="preserve"> Final Report </w:t>
            </w:r>
            <w:r w:rsidR="004A3852">
              <w:rPr>
                <w:rFonts w:ascii="Calibri" w:eastAsia="Calibri" w:hAnsi="Calibri" w:cs="Calibri"/>
              </w:rPr>
              <w:t>envision</w:t>
            </w:r>
            <w:r>
              <w:rPr>
                <w:rFonts w:ascii="Calibri" w:eastAsia="Calibri" w:hAnsi="Calibri" w:cs="Calibri"/>
              </w:rPr>
              <w:t>ed some levels of</w:t>
            </w:r>
            <w:r w:rsidR="004A3852">
              <w:rPr>
                <w:rFonts w:ascii="Calibri" w:eastAsia="Calibri" w:hAnsi="Calibri" w:cs="Calibri"/>
              </w:rPr>
              <w:t xml:space="preserve"> substantive work taking place during the </w:t>
            </w:r>
            <w:r>
              <w:rPr>
                <w:rFonts w:ascii="Calibri" w:eastAsia="Calibri" w:hAnsi="Calibri" w:cs="Calibri"/>
              </w:rPr>
              <w:t>Implementation Review Team (IRT) phase of the work, after ICANN Board adoption of the recommendations. For instance, in Topic 17: Applicant Support</w:t>
            </w:r>
            <w:r w:rsidR="0000386C">
              <w:rPr>
                <w:rStyle w:val="FootnoteReference"/>
                <w:rFonts w:ascii="Calibri" w:eastAsia="Calibri" w:hAnsi="Calibri" w:cs="Calibri"/>
              </w:rPr>
              <w:footnoteReference w:id="2"/>
            </w:r>
            <w:r>
              <w:rPr>
                <w:rFonts w:ascii="Calibri" w:eastAsia="Calibri" w:hAnsi="Calibri" w:cs="Calibri"/>
              </w:rPr>
              <w:t xml:space="preserve">, Implementation Guidance 17.5, the report suggests the creation of a dedicated </w:t>
            </w:r>
            <w:proofErr w:type="gramStart"/>
            <w:r>
              <w:rPr>
                <w:rFonts w:ascii="Calibri" w:eastAsia="Calibri" w:hAnsi="Calibri" w:cs="Calibri"/>
              </w:rPr>
              <w:t>IRT</w:t>
            </w:r>
            <w:proofErr w:type="gramEnd"/>
            <w:r w:rsidR="0000386C">
              <w:rPr>
                <w:rFonts w:ascii="Calibri" w:eastAsia="Calibri" w:hAnsi="Calibri" w:cs="Calibri"/>
              </w:rPr>
              <w:t xml:space="preserve"> and it be charged “</w:t>
            </w:r>
            <w:r w:rsidR="0000386C" w:rsidRPr="0000386C">
              <w:rPr>
                <w:rFonts w:ascii="Calibri" w:eastAsia="Calibri" w:hAnsi="Calibri" w:cs="Calibri"/>
              </w:rPr>
              <w:t>with developing implementation elements of the Applicant Support Program. In conducting its work, the Implementation Review Team should revisit the 2011 Final Report of the Joint Applicant Support Working Group as well as the 2012 implementation of the Applicant Support program</w:t>
            </w:r>
            <w:r w:rsidR="0000386C">
              <w:rPr>
                <w:rFonts w:ascii="Calibri" w:eastAsia="Calibri" w:hAnsi="Calibri" w:cs="Calibri"/>
              </w:rPr>
              <w:t>.” This dedicated IRT was to be charged with making substantive decisions on outreach activities and allocation of scarce resources (e.g., when there are more qualified applicants than available funds)</w:t>
            </w:r>
            <w:r w:rsidR="00F028B9">
              <w:rPr>
                <w:rFonts w:ascii="Calibri" w:eastAsia="Calibri" w:hAnsi="Calibri" w:cs="Calibri"/>
              </w:rPr>
              <w:t>, among other activities</w:t>
            </w:r>
            <w:r w:rsidR="0000386C">
              <w:rPr>
                <w:rFonts w:ascii="Calibri" w:eastAsia="Calibri" w:hAnsi="Calibri" w:cs="Calibri"/>
              </w:rPr>
              <w:t xml:space="preserve">. </w:t>
            </w:r>
          </w:p>
          <w:p w14:paraId="2635EDEF" w14:textId="5A74F390" w:rsidR="0000386C" w:rsidRDefault="008C6FA8" w:rsidP="004A3852">
            <w:pPr>
              <w:keepNext/>
              <w:widowControl w:val="0"/>
              <w:spacing w:before="120" w:after="120"/>
              <w:rPr>
                <w:rFonts w:ascii="Calibri" w:eastAsia="Calibri" w:hAnsi="Calibri" w:cs="Calibri"/>
              </w:rPr>
            </w:pPr>
            <w:r>
              <w:rPr>
                <w:rFonts w:ascii="Calibri" w:eastAsia="Calibri" w:hAnsi="Calibri" w:cs="Calibri"/>
              </w:rPr>
              <w:t>On 12 September 2021, t</w:t>
            </w:r>
            <w:r w:rsidR="0000386C">
              <w:rPr>
                <w:rFonts w:ascii="Calibri" w:eastAsia="Calibri" w:hAnsi="Calibri" w:cs="Calibri"/>
              </w:rPr>
              <w:t xml:space="preserve">he ICANN Board </w:t>
            </w:r>
            <w:r>
              <w:rPr>
                <w:rFonts w:ascii="Calibri" w:eastAsia="Calibri" w:hAnsi="Calibri" w:cs="Calibri"/>
              </w:rPr>
              <w:t>resolved</w:t>
            </w:r>
            <w:r>
              <w:rPr>
                <w:rStyle w:val="FootnoteReference"/>
                <w:rFonts w:ascii="Calibri" w:eastAsia="Calibri" w:hAnsi="Calibri" w:cs="Calibri"/>
              </w:rPr>
              <w:footnoteReference w:id="3"/>
            </w:r>
            <w:r>
              <w:rPr>
                <w:rFonts w:ascii="Calibri" w:eastAsia="Calibri" w:hAnsi="Calibri" w:cs="Calibri"/>
              </w:rPr>
              <w:t xml:space="preserve"> to initiate an Operational Design Phase (ODP)</w:t>
            </w:r>
            <w:r w:rsidR="00F028B9">
              <w:rPr>
                <w:rFonts w:ascii="Calibri" w:eastAsia="Calibri" w:hAnsi="Calibri" w:cs="Calibri"/>
              </w:rPr>
              <w:t>. The ODP was officially launched at the beginning of 2022. The ODP Team, in reviewing the recommendations related to Topic 17</w:t>
            </w:r>
            <w:r w:rsidR="00BC6252">
              <w:rPr>
                <w:rFonts w:ascii="Calibri" w:eastAsia="Calibri" w:hAnsi="Calibri" w:cs="Calibri"/>
              </w:rPr>
              <w:t>,</w:t>
            </w:r>
            <w:r w:rsidR="00F028B9">
              <w:rPr>
                <w:rFonts w:ascii="Calibri" w:eastAsia="Calibri" w:hAnsi="Calibri" w:cs="Calibri"/>
              </w:rPr>
              <w:t xml:space="preserve"> w</w:t>
            </w:r>
            <w:r w:rsidR="00BC6252">
              <w:rPr>
                <w:rFonts w:ascii="Calibri" w:eastAsia="Calibri" w:hAnsi="Calibri" w:cs="Calibri"/>
              </w:rPr>
              <w:t xml:space="preserve">as </w:t>
            </w:r>
            <w:r w:rsidR="00F028B9">
              <w:rPr>
                <w:rFonts w:ascii="Calibri" w:eastAsia="Calibri" w:hAnsi="Calibri" w:cs="Calibri"/>
              </w:rPr>
              <w:t xml:space="preserve">concerned that the work recommended by SubPro was potentially out of scope of the role envisaged by an IRT, per the PDP Manual and Consensus Policy Implementation Framework (CPIF).   </w:t>
            </w:r>
            <w:r>
              <w:rPr>
                <w:rFonts w:ascii="Calibri" w:eastAsia="Calibri" w:hAnsi="Calibri" w:cs="Calibri"/>
              </w:rPr>
              <w:t xml:space="preserve"> </w:t>
            </w:r>
          </w:p>
          <w:p w14:paraId="14B7D100" w14:textId="2AC97565" w:rsidR="004A3852" w:rsidRDefault="00F028B9" w:rsidP="00BC6252">
            <w:pPr>
              <w:keepNext/>
              <w:widowControl w:val="0"/>
              <w:spacing w:before="120" w:after="120"/>
              <w:rPr>
                <w:rFonts w:ascii="Calibri" w:eastAsia="Calibri" w:hAnsi="Calibri" w:cs="Calibri"/>
              </w:rPr>
            </w:pPr>
            <w:r>
              <w:rPr>
                <w:rFonts w:ascii="Calibri" w:eastAsia="Calibri" w:hAnsi="Calibri" w:cs="Calibri"/>
              </w:rPr>
              <w:t xml:space="preserve">The </w:t>
            </w:r>
            <w:r w:rsidR="004A3852">
              <w:rPr>
                <w:rFonts w:ascii="Calibri" w:eastAsia="Calibri" w:hAnsi="Calibri" w:cs="Calibri"/>
              </w:rPr>
              <w:t xml:space="preserve">Council </w:t>
            </w:r>
            <w:r>
              <w:rPr>
                <w:rFonts w:ascii="Calibri" w:eastAsia="Calibri" w:hAnsi="Calibri" w:cs="Calibri"/>
              </w:rPr>
              <w:t>responded</w:t>
            </w:r>
            <w:r w:rsidR="007A5639">
              <w:rPr>
                <w:rStyle w:val="FootnoteReference"/>
                <w:rFonts w:ascii="Calibri" w:eastAsia="Calibri" w:hAnsi="Calibri" w:cs="Calibri"/>
              </w:rPr>
              <w:footnoteReference w:id="4"/>
            </w:r>
            <w:r>
              <w:rPr>
                <w:rFonts w:ascii="Calibri" w:eastAsia="Calibri" w:hAnsi="Calibri" w:cs="Calibri"/>
              </w:rPr>
              <w:t xml:space="preserve">, without opining on whether the work presented a scope issue, but rather, committed to providing guidance </w:t>
            </w:r>
            <w:r w:rsidR="00BC6252">
              <w:rPr>
                <w:rFonts w:ascii="Calibri" w:eastAsia="Calibri" w:hAnsi="Calibri" w:cs="Calibri"/>
              </w:rPr>
              <w:t>on select topics where additional substantive work was envisaged by the recommendations and implementation guidance contained in the Final Report</w:t>
            </w:r>
            <w:r w:rsidR="00BA7866">
              <w:rPr>
                <w:rFonts w:ascii="Calibri" w:eastAsia="Calibri" w:hAnsi="Calibri" w:cs="Calibri"/>
              </w:rPr>
              <w:t xml:space="preserve"> (to be referred to as Group 1 in section 3 below)</w:t>
            </w:r>
            <w:r w:rsidR="00BC6252">
              <w:rPr>
                <w:rFonts w:ascii="Calibri" w:eastAsia="Calibri" w:hAnsi="Calibri" w:cs="Calibri"/>
              </w:rPr>
              <w:t xml:space="preserve">. </w:t>
            </w:r>
          </w:p>
          <w:p w14:paraId="210A0732" w14:textId="77777777" w:rsidR="00BC6252" w:rsidRDefault="00BC6252" w:rsidP="00BC6252">
            <w:pPr>
              <w:keepNext/>
              <w:widowControl w:val="0"/>
              <w:spacing w:before="120" w:after="120"/>
              <w:rPr>
                <w:rFonts w:ascii="Calibri" w:eastAsia="Calibri" w:hAnsi="Calibri" w:cs="Calibri"/>
              </w:rPr>
            </w:pPr>
            <w:r>
              <w:rPr>
                <w:rFonts w:ascii="Calibri" w:eastAsia="Calibri" w:hAnsi="Calibri" w:cs="Calibri"/>
              </w:rPr>
              <w:t>The Council has further determined that the provision of guidance is best accomplished via the GNSO Guidance Process (GGP).</w:t>
            </w:r>
          </w:p>
          <w:p w14:paraId="105BC7E9" w14:textId="758F0CD6" w:rsidR="00BA7866" w:rsidRDefault="00BA7866" w:rsidP="00BC6252">
            <w:pPr>
              <w:keepNext/>
              <w:widowControl w:val="0"/>
              <w:spacing w:before="120" w:after="120"/>
              <w:rPr>
                <w:rFonts w:ascii="Calibri" w:eastAsia="Calibri" w:hAnsi="Calibri" w:cs="Calibri"/>
              </w:rPr>
            </w:pPr>
            <w:r>
              <w:rPr>
                <w:rFonts w:ascii="Calibri" w:eastAsia="Calibri" w:hAnsi="Calibri" w:cs="Calibri"/>
              </w:rPr>
              <w:t xml:space="preserve">The Council, in consultation with the ODP Team via its liaison, also </w:t>
            </w:r>
            <w:r>
              <w:rPr>
                <w:rFonts w:ascii="Calibri" w:eastAsia="Calibri" w:hAnsi="Calibri" w:cs="Calibri"/>
              </w:rPr>
              <w:lastRenderedPageBreak/>
              <w:t xml:space="preserve">understands that there are a select number of topics and Outputs where </w:t>
            </w:r>
            <w:r w:rsidR="004160C2">
              <w:rPr>
                <w:rFonts w:ascii="Calibri" w:eastAsia="Calibri" w:hAnsi="Calibri" w:cs="Calibri"/>
              </w:rPr>
              <w:t>additional work may be necessary prior to the official Implementation phase</w:t>
            </w:r>
            <w:r>
              <w:rPr>
                <w:rFonts w:ascii="Calibri" w:eastAsia="Calibri" w:hAnsi="Calibri" w:cs="Calibri"/>
              </w:rPr>
              <w:t xml:space="preserve">. In these cases, the </w:t>
            </w:r>
            <w:r w:rsidR="004160C2">
              <w:rPr>
                <w:rFonts w:ascii="Calibri" w:eastAsia="Calibri" w:hAnsi="Calibri" w:cs="Calibri"/>
              </w:rPr>
              <w:t xml:space="preserve">Council and the ODP </w:t>
            </w:r>
            <w:r>
              <w:rPr>
                <w:rFonts w:ascii="Calibri" w:eastAsia="Calibri" w:hAnsi="Calibri" w:cs="Calibri"/>
              </w:rPr>
              <w:t xml:space="preserve">Team believe that additional </w:t>
            </w:r>
            <w:r w:rsidR="00AB6513">
              <w:rPr>
                <w:rFonts w:ascii="Calibri" w:eastAsia="Calibri" w:hAnsi="Calibri" w:cs="Calibri"/>
              </w:rPr>
              <w:t xml:space="preserve">prior </w:t>
            </w:r>
            <w:r>
              <w:rPr>
                <w:rFonts w:ascii="Calibri" w:eastAsia="Calibri" w:hAnsi="Calibri" w:cs="Calibri"/>
              </w:rPr>
              <w:t xml:space="preserve">guidance will be helpful during </w:t>
            </w:r>
            <w:r w:rsidR="004160C2">
              <w:rPr>
                <w:rFonts w:ascii="Calibri" w:eastAsia="Calibri" w:hAnsi="Calibri" w:cs="Calibri"/>
              </w:rPr>
              <w:t xml:space="preserve">an </w:t>
            </w:r>
            <w:r>
              <w:rPr>
                <w:rFonts w:ascii="Calibri" w:eastAsia="Calibri" w:hAnsi="Calibri" w:cs="Calibri"/>
              </w:rPr>
              <w:t>implementation phase (to be referred to as Group 2 in section 3 below).</w:t>
            </w:r>
          </w:p>
          <w:p w14:paraId="6BD224B6" w14:textId="629E72C2" w:rsidR="00BA7866" w:rsidRDefault="00A56068" w:rsidP="00BC6252">
            <w:pPr>
              <w:keepNext/>
              <w:widowControl w:val="0"/>
              <w:spacing w:before="120" w:after="120"/>
              <w:rPr>
                <w:rFonts w:ascii="Calibri" w:eastAsia="Calibri" w:hAnsi="Calibri" w:cs="Calibri"/>
              </w:rPr>
            </w:pPr>
            <w:r>
              <w:rPr>
                <w:rFonts w:ascii="Calibri" w:eastAsia="Calibri" w:hAnsi="Calibri" w:cs="Calibri"/>
              </w:rPr>
              <w:t xml:space="preserve">To emphasize, </w:t>
            </w:r>
            <w:r w:rsidR="00BA7866">
              <w:rPr>
                <w:rFonts w:ascii="Calibri" w:eastAsia="Calibri" w:hAnsi="Calibri" w:cs="Calibri"/>
              </w:rPr>
              <w:t xml:space="preserve">Group 1, which is substantive work </w:t>
            </w:r>
            <w:r>
              <w:rPr>
                <w:rFonts w:ascii="Calibri" w:eastAsia="Calibri" w:hAnsi="Calibri" w:cs="Calibri"/>
              </w:rPr>
              <w:t>that SubPro anticipated,</w:t>
            </w:r>
            <w:r w:rsidR="00BA7866">
              <w:rPr>
                <w:rFonts w:ascii="Calibri" w:eastAsia="Calibri" w:hAnsi="Calibri" w:cs="Calibri"/>
              </w:rPr>
              <w:t xml:space="preserve"> is distinctly different than G</w:t>
            </w:r>
            <w:r>
              <w:rPr>
                <w:rFonts w:ascii="Calibri" w:eastAsia="Calibri" w:hAnsi="Calibri" w:cs="Calibri"/>
              </w:rPr>
              <w:t xml:space="preserve">roup 2, which are </w:t>
            </w:r>
            <w:r w:rsidR="004160C2">
              <w:rPr>
                <w:rFonts w:ascii="Calibri" w:eastAsia="Calibri" w:hAnsi="Calibri" w:cs="Calibri"/>
              </w:rPr>
              <w:t xml:space="preserve">other </w:t>
            </w:r>
            <w:r>
              <w:rPr>
                <w:rFonts w:ascii="Calibri" w:eastAsia="Calibri" w:hAnsi="Calibri" w:cs="Calibri"/>
              </w:rPr>
              <w:t xml:space="preserve">areas </w:t>
            </w:r>
            <w:r w:rsidR="004160C2">
              <w:rPr>
                <w:rFonts w:ascii="Calibri" w:eastAsia="Calibri" w:hAnsi="Calibri" w:cs="Calibri"/>
              </w:rPr>
              <w:t>where additional work may be necessary</w:t>
            </w:r>
            <w:r>
              <w:rPr>
                <w:rFonts w:ascii="Calibri" w:eastAsia="Calibri" w:hAnsi="Calibri" w:cs="Calibri"/>
              </w:rPr>
              <w:t>.</w:t>
            </w:r>
          </w:p>
        </w:tc>
      </w:tr>
      <w:tr w:rsidR="00ED40D2" w14:paraId="5B0A6D17" w14:textId="77777777">
        <w:trPr>
          <w:trHeight w:val="1500"/>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1C408712" w14:textId="399A413A" w:rsidR="00ED40D2" w:rsidRDefault="006330C7">
            <w:pPr>
              <w:spacing w:line="240" w:lineRule="auto"/>
              <w:rPr>
                <w:rFonts w:ascii="Calibri" w:eastAsia="Calibri" w:hAnsi="Calibri" w:cs="Calibri"/>
                <w:b/>
              </w:rPr>
            </w:pPr>
            <w:r>
              <w:rPr>
                <w:rFonts w:ascii="Calibri" w:eastAsia="Calibri" w:hAnsi="Calibri" w:cs="Calibri"/>
                <w:b/>
              </w:rPr>
              <w:lastRenderedPageBreak/>
              <w:t>3</w:t>
            </w:r>
            <w:r w:rsidR="008C5630">
              <w:rPr>
                <w:rFonts w:ascii="Calibri" w:eastAsia="Calibri" w:hAnsi="Calibri" w:cs="Calibri"/>
                <w:b/>
              </w:rPr>
              <w:t xml:space="preserve">. Scope of the effort (detailed description of the issue or question that the </w:t>
            </w:r>
            <w:r w:rsidR="00A62ECA">
              <w:rPr>
                <w:rFonts w:ascii="Calibri" w:eastAsia="Calibri" w:hAnsi="Calibri" w:cs="Calibri"/>
                <w:b/>
              </w:rPr>
              <w:t>GGP</w:t>
            </w:r>
            <w:r w:rsidR="008C5630">
              <w:rPr>
                <w:rFonts w:ascii="Calibri" w:eastAsia="Calibri" w:hAnsi="Calibri" w:cs="Calibri"/>
                <w:b/>
              </w:rPr>
              <w:t xml:space="preserve"> is expected to address)</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164762" w14:textId="6CC3A5E2" w:rsidR="005D735A" w:rsidRDefault="005D735A" w:rsidP="00210CBE">
            <w:pPr>
              <w:rPr>
                <w:rFonts w:asciiTheme="majorHAnsi" w:hAnsiTheme="majorHAnsi" w:cstheme="majorHAnsi"/>
                <w:b/>
                <w:bCs/>
                <w:color w:val="000000"/>
              </w:rPr>
            </w:pPr>
            <w:r w:rsidRPr="005D735A">
              <w:rPr>
                <w:rFonts w:asciiTheme="majorHAnsi" w:hAnsiTheme="majorHAnsi" w:cstheme="majorHAnsi"/>
                <w:b/>
                <w:bCs/>
                <w:color w:val="000000"/>
              </w:rPr>
              <w:t>Group 1</w:t>
            </w:r>
            <w:r w:rsidR="00A56068">
              <w:rPr>
                <w:rFonts w:asciiTheme="majorHAnsi" w:hAnsiTheme="majorHAnsi" w:cstheme="majorHAnsi"/>
                <w:b/>
                <w:bCs/>
                <w:color w:val="000000"/>
              </w:rPr>
              <w:t>:</w:t>
            </w:r>
          </w:p>
          <w:p w14:paraId="4A6CFC81" w14:textId="521FCB56" w:rsidR="00A56068" w:rsidRDefault="00A56068" w:rsidP="00210CBE">
            <w:pPr>
              <w:rPr>
                <w:rFonts w:asciiTheme="majorHAnsi" w:hAnsiTheme="majorHAnsi" w:cstheme="majorHAnsi"/>
                <w:b/>
                <w:bCs/>
                <w:color w:val="000000"/>
              </w:rPr>
            </w:pPr>
          </w:p>
          <w:p w14:paraId="28C8805B" w14:textId="066E29E1" w:rsidR="00A56068" w:rsidRDefault="00A56068" w:rsidP="00210CBE">
            <w:pPr>
              <w:rPr>
                <w:rFonts w:asciiTheme="majorHAnsi" w:hAnsiTheme="majorHAnsi" w:cstheme="majorHAnsi"/>
                <w:b/>
                <w:bCs/>
                <w:color w:val="000000"/>
              </w:rPr>
            </w:pPr>
            <w:r>
              <w:rPr>
                <w:rFonts w:asciiTheme="majorHAnsi" w:hAnsiTheme="majorHAnsi" w:cstheme="majorHAnsi"/>
                <w:b/>
                <w:bCs/>
                <w:color w:val="000000"/>
              </w:rPr>
              <w:t xml:space="preserve">The following Outputs are determined to require additional substantive deliberations per the SubPro Final Report. </w:t>
            </w:r>
            <w:r w:rsidR="000D365B">
              <w:rPr>
                <w:rFonts w:asciiTheme="majorHAnsi" w:hAnsiTheme="majorHAnsi" w:cstheme="majorHAnsi"/>
                <w:b/>
                <w:bCs/>
                <w:color w:val="000000"/>
              </w:rPr>
              <w:t>The r</w:t>
            </w:r>
            <w:r>
              <w:rPr>
                <w:rFonts w:asciiTheme="majorHAnsi" w:hAnsiTheme="majorHAnsi" w:cstheme="majorHAnsi"/>
                <w:b/>
                <w:bCs/>
                <w:color w:val="000000"/>
              </w:rPr>
              <w:t xml:space="preserve">elevant </w:t>
            </w:r>
            <w:r w:rsidR="000D365B">
              <w:rPr>
                <w:rFonts w:asciiTheme="majorHAnsi" w:hAnsiTheme="majorHAnsi" w:cstheme="majorHAnsi"/>
                <w:b/>
                <w:bCs/>
                <w:color w:val="000000"/>
              </w:rPr>
              <w:t xml:space="preserve">Outputs from the </w:t>
            </w:r>
            <w:proofErr w:type="spellStart"/>
            <w:r w:rsidR="000D365B">
              <w:rPr>
                <w:rFonts w:asciiTheme="majorHAnsi" w:hAnsiTheme="majorHAnsi" w:cstheme="majorHAnsi"/>
                <w:b/>
                <w:bCs/>
                <w:color w:val="000000"/>
              </w:rPr>
              <w:t>SubPro</w:t>
            </w:r>
            <w:proofErr w:type="spellEnd"/>
            <w:r w:rsidR="000D365B">
              <w:rPr>
                <w:rFonts w:asciiTheme="majorHAnsi" w:hAnsiTheme="majorHAnsi" w:cstheme="majorHAnsi"/>
                <w:b/>
                <w:bCs/>
                <w:color w:val="000000"/>
              </w:rPr>
              <w:t xml:space="preserve"> Final Report</w:t>
            </w:r>
            <w:r w:rsidR="00267F3B">
              <w:rPr>
                <w:rFonts w:asciiTheme="majorHAnsi" w:hAnsiTheme="majorHAnsi" w:cstheme="majorHAnsi"/>
                <w:b/>
                <w:bCs/>
                <w:color w:val="000000"/>
              </w:rPr>
              <w:t xml:space="preserve"> are referenced and </w:t>
            </w:r>
            <w:r w:rsidR="006F6DDD">
              <w:rPr>
                <w:rFonts w:asciiTheme="majorHAnsi" w:hAnsiTheme="majorHAnsi" w:cstheme="majorHAnsi"/>
                <w:b/>
                <w:bCs/>
                <w:color w:val="000000"/>
              </w:rPr>
              <w:t xml:space="preserve">are accompanied by specific tasks to be </w:t>
            </w:r>
            <w:r w:rsidR="00D64B83">
              <w:rPr>
                <w:rFonts w:asciiTheme="majorHAnsi" w:hAnsiTheme="majorHAnsi" w:cstheme="majorHAnsi"/>
                <w:b/>
                <w:bCs/>
                <w:color w:val="000000"/>
              </w:rPr>
              <w:t>performed by the</w:t>
            </w:r>
            <w:r w:rsidR="006F6DDD">
              <w:rPr>
                <w:rFonts w:asciiTheme="majorHAnsi" w:hAnsiTheme="majorHAnsi" w:cstheme="majorHAnsi"/>
                <w:b/>
                <w:bCs/>
                <w:color w:val="000000"/>
              </w:rPr>
              <w:t xml:space="preserve"> GGP</w:t>
            </w:r>
            <w:r w:rsidR="000D365B">
              <w:rPr>
                <w:rFonts w:asciiTheme="majorHAnsi" w:hAnsiTheme="majorHAnsi" w:cstheme="majorHAnsi"/>
                <w:b/>
                <w:bCs/>
                <w:color w:val="000000"/>
              </w:rPr>
              <w:t xml:space="preserve"> and </w:t>
            </w:r>
            <w:r w:rsidR="004040C5">
              <w:rPr>
                <w:rFonts w:asciiTheme="majorHAnsi" w:hAnsiTheme="majorHAnsi" w:cstheme="majorHAnsi"/>
                <w:b/>
                <w:bCs/>
                <w:color w:val="000000"/>
              </w:rPr>
              <w:t>represent the</w:t>
            </w:r>
            <w:r w:rsidR="000D365B">
              <w:rPr>
                <w:rFonts w:asciiTheme="majorHAnsi" w:hAnsiTheme="majorHAnsi" w:cstheme="majorHAnsi"/>
                <w:b/>
                <w:bCs/>
                <w:color w:val="000000"/>
              </w:rPr>
              <w:t xml:space="preserve"> </w:t>
            </w:r>
            <w:r w:rsidR="004040C5">
              <w:rPr>
                <w:rFonts w:asciiTheme="majorHAnsi" w:hAnsiTheme="majorHAnsi" w:cstheme="majorHAnsi"/>
                <w:b/>
                <w:bCs/>
                <w:color w:val="000000"/>
              </w:rPr>
              <w:t>specific</w:t>
            </w:r>
            <w:r>
              <w:rPr>
                <w:rFonts w:asciiTheme="majorHAnsi" w:hAnsiTheme="majorHAnsi" w:cstheme="majorHAnsi"/>
                <w:b/>
                <w:bCs/>
                <w:color w:val="000000"/>
              </w:rPr>
              <w:t xml:space="preserve"> </w:t>
            </w:r>
            <w:r w:rsidR="004040C5">
              <w:rPr>
                <w:rFonts w:asciiTheme="majorHAnsi" w:hAnsiTheme="majorHAnsi" w:cstheme="majorHAnsi"/>
                <w:b/>
                <w:bCs/>
                <w:color w:val="000000"/>
              </w:rPr>
              <w:t xml:space="preserve">scope of </w:t>
            </w:r>
            <w:r>
              <w:rPr>
                <w:rFonts w:asciiTheme="majorHAnsi" w:hAnsiTheme="majorHAnsi" w:cstheme="majorHAnsi"/>
                <w:b/>
                <w:bCs/>
                <w:color w:val="000000"/>
              </w:rPr>
              <w:t>work</w:t>
            </w:r>
            <w:r w:rsidR="00DE6E4B">
              <w:rPr>
                <w:rFonts w:asciiTheme="majorHAnsi" w:hAnsiTheme="majorHAnsi" w:cstheme="majorHAnsi"/>
                <w:b/>
                <w:bCs/>
                <w:color w:val="000000"/>
              </w:rPr>
              <w:t xml:space="preserve"> for Group 1</w:t>
            </w:r>
            <w:r>
              <w:rPr>
                <w:rFonts w:asciiTheme="majorHAnsi" w:hAnsiTheme="majorHAnsi" w:cstheme="majorHAnsi"/>
                <w:b/>
                <w:bCs/>
                <w:color w:val="000000"/>
              </w:rPr>
              <w:t>.</w:t>
            </w:r>
          </w:p>
          <w:p w14:paraId="4446427C" w14:textId="567176AC" w:rsidR="005D735A" w:rsidRDefault="005D735A" w:rsidP="00210CBE">
            <w:pPr>
              <w:rPr>
                <w:rFonts w:asciiTheme="majorHAnsi" w:hAnsiTheme="majorHAnsi" w:cstheme="majorHAnsi"/>
                <w:b/>
                <w:bCs/>
                <w:color w:val="000000"/>
              </w:rPr>
            </w:pPr>
          </w:p>
          <w:p w14:paraId="09D2C21F" w14:textId="0BFADA02" w:rsidR="005D735A" w:rsidRDefault="005D735A" w:rsidP="005D735A">
            <w:pPr>
              <w:rPr>
                <w:rFonts w:asciiTheme="majorHAnsi" w:hAnsiTheme="majorHAnsi" w:cstheme="majorHAnsi"/>
                <w:color w:val="000000"/>
              </w:rPr>
            </w:pPr>
            <w:r w:rsidRPr="00A56068">
              <w:rPr>
                <w:rFonts w:asciiTheme="majorHAnsi" w:hAnsiTheme="majorHAnsi" w:cstheme="majorHAnsi"/>
                <w:color w:val="000000"/>
                <w:u w:val="single"/>
              </w:rPr>
              <w:t>Implementation Guidance 10.2</w:t>
            </w:r>
            <w:r w:rsidRPr="00A56068">
              <w:rPr>
                <w:rFonts w:asciiTheme="majorHAnsi" w:hAnsiTheme="majorHAnsi" w:cstheme="majorHAnsi"/>
                <w:color w:val="000000"/>
              </w:rPr>
              <w:t xml:space="preserve">: As the ICANN organization and community incorporate human rights into ICANN’s processes in line with the recommendations of CCWG-Accountability Work Stream 2, they should </w:t>
            </w:r>
            <w:r w:rsidRPr="006F6DDD">
              <w:rPr>
                <w:rFonts w:asciiTheme="majorHAnsi" w:hAnsiTheme="majorHAnsi" w:cstheme="majorHAnsi"/>
                <w:color w:val="000000"/>
              </w:rPr>
              <w:t xml:space="preserve">consider the application of this work to elements of the New gTLD Program. Specifically, the Working Group suggests further consideration of applicant freedom of expression rights in the TLD proposed during pre-application through delegation stages of the process. Applicant freedom of expression should be balanced with other </w:t>
            </w:r>
            <w:proofErr w:type="gramStart"/>
            <w:r w:rsidRPr="006F6DDD">
              <w:rPr>
                <w:rFonts w:asciiTheme="majorHAnsi" w:hAnsiTheme="majorHAnsi" w:cstheme="majorHAnsi"/>
                <w:color w:val="000000"/>
              </w:rPr>
              <w:t>third party</w:t>
            </w:r>
            <w:proofErr w:type="gramEnd"/>
            <w:r w:rsidRPr="006F6DDD">
              <w:rPr>
                <w:rFonts w:asciiTheme="majorHAnsi" w:hAnsiTheme="majorHAnsi" w:cstheme="majorHAnsi"/>
                <w:color w:val="000000"/>
              </w:rPr>
              <w:t xml:space="preserve"> rights recognized in the 2012 Applicant Guidebook as modified by this PDP, legitimate interests, the principle of fairness, and “generally accepted legal norms of morality and public order that are recognized under principles of international law.” For example, it may be beneficial to include concrete case studies or examples in guidance</w:t>
            </w:r>
            <w:r w:rsidRPr="00A56068">
              <w:rPr>
                <w:rFonts w:asciiTheme="majorHAnsi" w:hAnsiTheme="majorHAnsi" w:cstheme="majorHAnsi"/>
                <w:color w:val="000000"/>
              </w:rPr>
              <w:t xml:space="preserve"> to evaluators and dispute resolution service providers to ensure that criteria are correctly and consistently applied in support of the applicable principles and rights</w:t>
            </w:r>
            <w:r w:rsidR="004B5A1B" w:rsidRPr="00A56068">
              <w:rPr>
                <w:rFonts w:asciiTheme="majorHAnsi" w:hAnsiTheme="majorHAnsi" w:cstheme="majorHAnsi"/>
                <w:color w:val="000000"/>
              </w:rPr>
              <w:t>.</w:t>
            </w:r>
          </w:p>
          <w:p w14:paraId="318A23D1" w14:textId="0744B1BB" w:rsidR="006F6DDD" w:rsidRDefault="006F6DDD" w:rsidP="005D735A">
            <w:pPr>
              <w:rPr>
                <w:rFonts w:asciiTheme="majorHAnsi" w:hAnsiTheme="majorHAnsi" w:cstheme="majorHAnsi"/>
                <w:color w:val="000000"/>
              </w:rPr>
            </w:pPr>
          </w:p>
          <w:p w14:paraId="716308B1" w14:textId="27D1BF1C" w:rsidR="006F6DDD" w:rsidRPr="003024FE" w:rsidRDefault="00D64B83" w:rsidP="005D735A">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6F6DDD" w:rsidRPr="003024FE">
              <w:rPr>
                <w:rFonts w:asciiTheme="majorHAnsi" w:hAnsiTheme="majorHAnsi" w:cstheme="majorHAnsi"/>
                <w:b/>
                <w:bCs/>
                <w:color w:val="000000"/>
                <w:u w:val="single"/>
              </w:rPr>
              <w:t>asks:</w:t>
            </w:r>
          </w:p>
          <w:p w14:paraId="4E45DCB8" w14:textId="5EF1BADA" w:rsidR="006F6DDD" w:rsidRPr="003024FE" w:rsidRDefault="00854257" w:rsidP="006F6DDD">
            <w:pPr>
              <w:pStyle w:val="ListParagraph"/>
              <w:numPr>
                <w:ilvl w:val="0"/>
                <w:numId w:val="8"/>
              </w:numPr>
              <w:rPr>
                <w:rFonts w:asciiTheme="majorHAnsi" w:hAnsiTheme="majorHAnsi" w:cstheme="majorHAnsi"/>
                <w:b/>
                <w:bCs/>
              </w:rPr>
            </w:pPr>
            <w:r w:rsidRPr="003024FE">
              <w:rPr>
                <w:rFonts w:asciiTheme="majorHAnsi" w:hAnsiTheme="majorHAnsi" w:cstheme="majorHAnsi"/>
                <w:b/>
                <w:bCs/>
              </w:rPr>
              <w:t>Task 1</w:t>
            </w:r>
            <w:r w:rsidR="00195BEC" w:rsidRPr="003024FE">
              <w:rPr>
                <w:rFonts w:asciiTheme="majorHAnsi" w:hAnsiTheme="majorHAnsi" w:cstheme="majorHAnsi"/>
                <w:b/>
                <w:bCs/>
              </w:rPr>
              <w:t xml:space="preserve"> - Provide case studies or develop examples of how applicant freedom of expression can be balanced with other third</w:t>
            </w:r>
            <w:r w:rsidR="007B4F22" w:rsidRPr="003024FE">
              <w:rPr>
                <w:rFonts w:asciiTheme="majorHAnsi" w:hAnsiTheme="majorHAnsi" w:cstheme="majorHAnsi"/>
                <w:b/>
                <w:bCs/>
              </w:rPr>
              <w:t>-</w:t>
            </w:r>
            <w:r w:rsidR="00195BEC" w:rsidRPr="003024FE">
              <w:rPr>
                <w:rFonts w:asciiTheme="majorHAnsi" w:hAnsiTheme="majorHAnsi" w:cstheme="majorHAnsi"/>
                <w:b/>
                <w:bCs/>
              </w:rPr>
              <w:t>party rights as described in the Implementation Guidance.</w:t>
            </w:r>
          </w:p>
          <w:p w14:paraId="3B1D7475" w14:textId="1DC9ABCF" w:rsidR="00195BEC" w:rsidRPr="003024FE" w:rsidRDefault="00854257" w:rsidP="00A30011">
            <w:pPr>
              <w:pStyle w:val="ListParagraph"/>
              <w:numPr>
                <w:ilvl w:val="0"/>
                <w:numId w:val="8"/>
              </w:numPr>
              <w:rPr>
                <w:rFonts w:asciiTheme="majorHAnsi" w:hAnsiTheme="majorHAnsi" w:cstheme="majorHAnsi"/>
                <w:b/>
                <w:bCs/>
              </w:rPr>
            </w:pPr>
            <w:r w:rsidRPr="003024FE">
              <w:rPr>
                <w:rFonts w:asciiTheme="majorHAnsi" w:hAnsiTheme="majorHAnsi" w:cstheme="majorHAnsi"/>
                <w:b/>
                <w:bCs/>
              </w:rPr>
              <w:t xml:space="preserve">Task </w:t>
            </w:r>
            <w:r w:rsidR="00195BEC" w:rsidRPr="003024FE">
              <w:rPr>
                <w:rFonts w:asciiTheme="majorHAnsi" w:hAnsiTheme="majorHAnsi" w:cstheme="majorHAnsi"/>
                <w:b/>
                <w:bCs/>
              </w:rPr>
              <w:t>2 - If feasible, develop criteria, metrics, or some other measures to be able to help determine if applicant freedom of expression and other third</w:t>
            </w:r>
            <w:r w:rsidR="007B4F22" w:rsidRPr="003024FE">
              <w:rPr>
                <w:rFonts w:asciiTheme="majorHAnsi" w:hAnsiTheme="majorHAnsi" w:cstheme="majorHAnsi"/>
                <w:b/>
                <w:bCs/>
              </w:rPr>
              <w:t>-</w:t>
            </w:r>
            <w:r w:rsidR="00195BEC" w:rsidRPr="003024FE">
              <w:rPr>
                <w:rFonts w:asciiTheme="majorHAnsi" w:hAnsiTheme="majorHAnsi" w:cstheme="majorHAnsi"/>
                <w:b/>
                <w:bCs/>
              </w:rPr>
              <w:t>party rights are adequately balanced.</w:t>
            </w:r>
          </w:p>
          <w:p w14:paraId="532D4B9A" w14:textId="6C241306" w:rsidR="005D735A" w:rsidRPr="00A56068" w:rsidRDefault="005D735A" w:rsidP="00210CBE">
            <w:pPr>
              <w:rPr>
                <w:rFonts w:asciiTheme="majorHAnsi" w:hAnsiTheme="majorHAnsi" w:cstheme="majorHAnsi"/>
                <w:b/>
                <w:bCs/>
                <w:color w:val="000000"/>
              </w:rPr>
            </w:pPr>
          </w:p>
          <w:p w14:paraId="66E9EFF5" w14:textId="02DE631E" w:rsidR="00267F3B" w:rsidRDefault="00267F3B" w:rsidP="00267F3B">
            <w:r w:rsidRPr="00574E27">
              <w:rPr>
                <w:rFonts w:asciiTheme="majorHAnsi" w:hAnsiTheme="majorHAnsi" w:cstheme="majorHAnsi"/>
                <w:color w:val="000000"/>
                <w:u w:val="single"/>
              </w:rPr>
              <w:t xml:space="preserve">Recommendation </w:t>
            </w:r>
            <w:r w:rsidR="00574E27" w:rsidRPr="00A30011">
              <w:rPr>
                <w:rFonts w:asciiTheme="majorHAnsi" w:hAnsiTheme="majorHAnsi" w:cstheme="majorHAnsi"/>
                <w:color w:val="000000"/>
                <w:u w:val="single"/>
              </w:rPr>
              <w:t>1</w:t>
            </w:r>
            <w:r w:rsidRPr="00574E27">
              <w:rPr>
                <w:rFonts w:asciiTheme="majorHAnsi" w:hAnsiTheme="majorHAnsi" w:cstheme="majorHAnsi"/>
                <w:color w:val="000000"/>
                <w:u w:val="single"/>
              </w:rPr>
              <w:t>7.3</w:t>
            </w:r>
            <w:r>
              <w:rPr>
                <w:rFonts w:asciiTheme="majorHAnsi" w:hAnsiTheme="majorHAnsi" w:cstheme="majorHAnsi"/>
                <w:color w:val="000000"/>
                <w:u w:val="single"/>
              </w:rPr>
              <w:t xml:space="preserve">: </w:t>
            </w:r>
            <w:r w:rsidRPr="00A30011">
              <w:rPr>
                <w:rFonts w:asciiTheme="majorHAnsi" w:hAnsiTheme="majorHAnsi" w:cstheme="majorHAnsi"/>
              </w:rPr>
              <w:t>The Working Group recommends that ICANN improve outreach, awareness-raising, application evaluation, and program evaluation elements of the Applicant Support Program, as well as usability of the Program, as proposed in the implementation guidance below.</w:t>
            </w:r>
            <w:r>
              <w:t xml:space="preserve"> </w:t>
            </w:r>
          </w:p>
          <w:p w14:paraId="27A39990" w14:textId="77777777" w:rsidR="00267F3B" w:rsidRDefault="00267F3B" w:rsidP="00B41C44">
            <w:pPr>
              <w:rPr>
                <w:rFonts w:asciiTheme="majorHAnsi" w:hAnsiTheme="majorHAnsi" w:cstheme="majorHAnsi"/>
                <w:color w:val="000000"/>
                <w:u w:val="single"/>
              </w:rPr>
            </w:pPr>
          </w:p>
          <w:p w14:paraId="105022CB" w14:textId="4073702F" w:rsidR="00B41C44" w:rsidRDefault="00B41C44" w:rsidP="00B41C44">
            <w:pPr>
              <w:rPr>
                <w:rFonts w:asciiTheme="majorHAnsi" w:hAnsiTheme="majorHAnsi" w:cstheme="majorHAnsi"/>
                <w:color w:val="000000"/>
              </w:rPr>
            </w:pPr>
            <w:r w:rsidRPr="00A56068">
              <w:rPr>
                <w:rFonts w:asciiTheme="majorHAnsi" w:hAnsiTheme="majorHAnsi" w:cstheme="majorHAnsi"/>
                <w:color w:val="000000"/>
                <w:u w:val="single"/>
              </w:rPr>
              <w:t>Implementation Guidance 17.5</w:t>
            </w:r>
            <w:r w:rsidRPr="00A56068">
              <w:rPr>
                <w:rFonts w:asciiTheme="majorHAnsi" w:hAnsiTheme="majorHAnsi" w:cstheme="majorHAnsi"/>
                <w:color w:val="000000"/>
              </w:rPr>
              <w:t xml:space="preserve">: A dedicated Implementation Review Team should be established and charged </w:t>
            </w:r>
            <w:r w:rsidRPr="00195BEC">
              <w:rPr>
                <w:rFonts w:asciiTheme="majorHAnsi" w:hAnsiTheme="majorHAnsi" w:cstheme="majorHAnsi"/>
                <w:color w:val="000000"/>
              </w:rPr>
              <w:t>with developing implementation elements of the Applicant Support Program. In conducting its work, the Implementation Review Team should revisit the 2011 Final Report of the Joint Applicant Support Working Group as well as the 2012 implementation of the Applicant Sup</w:t>
            </w:r>
            <w:r w:rsidRPr="006F6DDD">
              <w:rPr>
                <w:rFonts w:asciiTheme="majorHAnsi" w:hAnsiTheme="majorHAnsi" w:cstheme="majorHAnsi"/>
                <w:color w:val="000000"/>
              </w:rPr>
              <w:t>port program.</w:t>
            </w:r>
          </w:p>
          <w:p w14:paraId="539BBF52" w14:textId="7340F365" w:rsidR="00854257" w:rsidRDefault="00854257" w:rsidP="00B41C44">
            <w:pPr>
              <w:rPr>
                <w:rFonts w:asciiTheme="majorHAnsi" w:hAnsiTheme="majorHAnsi" w:cstheme="majorHAnsi"/>
                <w:color w:val="000000"/>
              </w:rPr>
            </w:pPr>
          </w:p>
          <w:p w14:paraId="757EB109" w14:textId="703891B3" w:rsidR="00854257" w:rsidRPr="003024FE" w:rsidRDefault="00D64B83" w:rsidP="00854257">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854257" w:rsidRPr="003024FE">
              <w:rPr>
                <w:rFonts w:asciiTheme="majorHAnsi" w:hAnsiTheme="majorHAnsi" w:cstheme="majorHAnsi"/>
                <w:b/>
                <w:bCs/>
                <w:color w:val="000000"/>
                <w:u w:val="single"/>
              </w:rPr>
              <w:t>asks:</w:t>
            </w:r>
          </w:p>
          <w:p w14:paraId="185A9C82" w14:textId="1F4D233D" w:rsidR="00854257" w:rsidRPr="003024FE" w:rsidRDefault="00854257" w:rsidP="00854257">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 xml:space="preserve">Task 3 – Review the 2011 Final Report of the Joint Applicant Support Working Group and the 2012 implementation of the Applicant Support program in detail, to serve as resources for other Applicant Support </w:t>
            </w:r>
            <w:r w:rsidR="007B4F22" w:rsidRPr="003024FE">
              <w:rPr>
                <w:rFonts w:asciiTheme="majorHAnsi" w:hAnsiTheme="majorHAnsi" w:cstheme="majorHAnsi"/>
                <w:b/>
                <w:bCs/>
                <w:color w:val="000000"/>
              </w:rPr>
              <w:t xml:space="preserve">related </w:t>
            </w:r>
            <w:r w:rsidRPr="003024FE">
              <w:rPr>
                <w:rFonts w:asciiTheme="majorHAnsi" w:hAnsiTheme="majorHAnsi" w:cstheme="majorHAnsi"/>
                <w:b/>
                <w:bCs/>
                <w:color w:val="000000"/>
              </w:rPr>
              <w:t>questions/tasks.</w:t>
            </w:r>
          </w:p>
          <w:p w14:paraId="7B7A3036" w14:textId="65528732" w:rsidR="00C03DEC" w:rsidRPr="006F6DDD" w:rsidRDefault="00C03DEC" w:rsidP="00210CBE">
            <w:pPr>
              <w:rPr>
                <w:rFonts w:asciiTheme="majorHAnsi" w:hAnsiTheme="majorHAnsi" w:cstheme="majorHAnsi"/>
                <w:b/>
                <w:bCs/>
                <w:color w:val="000000"/>
              </w:rPr>
            </w:pPr>
          </w:p>
          <w:p w14:paraId="5BD02B3A" w14:textId="05C22A6B" w:rsidR="00B41C44" w:rsidRDefault="00B41C44" w:rsidP="00B41C44">
            <w:pPr>
              <w:rPr>
                <w:rFonts w:asciiTheme="majorHAnsi" w:hAnsiTheme="majorHAnsi" w:cstheme="majorHAnsi"/>
                <w:color w:val="000000"/>
              </w:rPr>
            </w:pPr>
            <w:r w:rsidRPr="006F6DDD">
              <w:rPr>
                <w:rFonts w:asciiTheme="majorHAnsi" w:hAnsiTheme="majorHAnsi" w:cstheme="majorHAnsi"/>
                <w:color w:val="000000"/>
                <w:u w:val="single"/>
              </w:rPr>
              <w:t>Implementation Guidance 17.8</w:t>
            </w:r>
            <w:r w:rsidRPr="006F6DDD">
              <w:rPr>
                <w:rFonts w:asciiTheme="majorHAnsi" w:hAnsiTheme="majorHAnsi" w:cstheme="majorHAnsi"/>
                <w:color w:val="000000"/>
              </w:rPr>
              <w:t>: In implementing the Applicant Support Program for subsequent rounds, the dedicated Implementation Review Team should draw on experts with relevant knowledge, including from the targeted regions, to develop appropriate program elements related to outreach, education, business case development, and application evaluation. Regional experts may be particularly helpful in providing insight on the development of business plans from different parts of the world.</w:t>
            </w:r>
          </w:p>
          <w:p w14:paraId="04E209AA" w14:textId="04D4AD94" w:rsidR="00854257" w:rsidRDefault="00854257" w:rsidP="00B41C44">
            <w:pPr>
              <w:rPr>
                <w:rFonts w:asciiTheme="majorHAnsi" w:hAnsiTheme="majorHAnsi" w:cstheme="majorHAnsi"/>
                <w:color w:val="000000"/>
              </w:rPr>
            </w:pPr>
          </w:p>
          <w:p w14:paraId="6E13BD3C" w14:textId="2DEB053F" w:rsidR="00854257" w:rsidRPr="003024FE" w:rsidRDefault="00D64B83" w:rsidP="00B41C44">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854257" w:rsidRPr="003024FE">
              <w:rPr>
                <w:rFonts w:asciiTheme="majorHAnsi" w:hAnsiTheme="majorHAnsi" w:cstheme="majorHAnsi"/>
                <w:b/>
                <w:bCs/>
                <w:color w:val="000000"/>
                <w:u w:val="single"/>
              </w:rPr>
              <w:t>asks:</w:t>
            </w:r>
          </w:p>
          <w:p w14:paraId="5765BBAB" w14:textId="3150E925" w:rsidR="00854257" w:rsidRPr="003024FE" w:rsidRDefault="00854257" w:rsidP="00A30011">
            <w:pPr>
              <w:pStyle w:val="ListParagraph"/>
              <w:numPr>
                <w:ilvl w:val="0"/>
                <w:numId w:val="9"/>
              </w:numPr>
              <w:rPr>
                <w:rFonts w:asciiTheme="majorHAnsi" w:hAnsiTheme="majorHAnsi" w:cstheme="majorHAnsi"/>
                <w:b/>
                <w:bCs/>
              </w:rPr>
            </w:pPr>
            <w:r w:rsidRPr="003024FE">
              <w:rPr>
                <w:rFonts w:asciiTheme="majorHAnsi" w:hAnsiTheme="majorHAnsi" w:cstheme="majorHAnsi"/>
                <w:b/>
                <w:bCs/>
              </w:rPr>
              <w:t>Task 4 – Working with ICANN org staff as appropriate, identify experts with expertise to aid in task</w:t>
            </w:r>
            <w:r w:rsidR="0094716B" w:rsidRPr="003024FE">
              <w:rPr>
                <w:rFonts w:asciiTheme="majorHAnsi" w:hAnsiTheme="majorHAnsi" w:cstheme="majorHAnsi"/>
                <w:b/>
                <w:bCs/>
              </w:rPr>
              <w:t>s</w:t>
            </w:r>
            <w:r w:rsidR="006C483D" w:rsidRPr="003024FE">
              <w:rPr>
                <w:rFonts w:asciiTheme="majorHAnsi" w:hAnsiTheme="majorHAnsi" w:cstheme="majorHAnsi"/>
                <w:b/>
                <w:bCs/>
              </w:rPr>
              <w:t xml:space="preserve"> </w:t>
            </w:r>
            <w:r w:rsidR="0094716B" w:rsidRPr="003024FE">
              <w:rPr>
                <w:rFonts w:asciiTheme="majorHAnsi" w:hAnsiTheme="majorHAnsi" w:cstheme="majorHAnsi"/>
                <w:b/>
                <w:bCs/>
              </w:rPr>
              <w:t>5, 6, and 7</w:t>
            </w:r>
            <w:r w:rsidRPr="003024FE">
              <w:rPr>
                <w:rFonts w:asciiTheme="majorHAnsi" w:hAnsiTheme="majorHAnsi" w:cstheme="majorHAnsi"/>
                <w:b/>
                <w:bCs/>
              </w:rPr>
              <w:t>.</w:t>
            </w:r>
          </w:p>
          <w:p w14:paraId="742263AA" w14:textId="58B8D36C" w:rsidR="00B41C44" w:rsidRPr="006F6DDD" w:rsidRDefault="00B41C44" w:rsidP="00210CBE">
            <w:pPr>
              <w:rPr>
                <w:rFonts w:asciiTheme="majorHAnsi" w:hAnsiTheme="majorHAnsi" w:cstheme="majorHAnsi"/>
                <w:b/>
                <w:bCs/>
                <w:color w:val="000000"/>
              </w:rPr>
            </w:pPr>
          </w:p>
          <w:p w14:paraId="13A1D4FF" w14:textId="77777777" w:rsidR="00B41C44" w:rsidRPr="006F6DDD" w:rsidRDefault="00B41C44" w:rsidP="00B41C44">
            <w:pPr>
              <w:pStyle w:val="NormalWeb"/>
              <w:spacing w:before="0" w:beforeAutospacing="0" w:after="0" w:afterAutospacing="0"/>
              <w:rPr>
                <w:rFonts w:asciiTheme="majorHAnsi" w:hAnsiTheme="majorHAnsi" w:cstheme="majorHAnsi"/>
                <w:sz w:val="22"/>
                <w:szCs w:val="22"/>
              </w:rPr>
            </w:pPr>
            <w:r w:rsidRPr="006F6DDD">
              <w:rPr>
                <w:rFonts w:asciiTheme="majorHAnsi" w:hAnsiTheme="majorHAnsi" w:cstheme="majorHAnsi"/>
                <w:color w:val="000000"/>
                <w:sz w:val="22"/>
                <w:szCs w:val="22"/>
                <w:u w:val="single"/>
              </w:rPr>
              <w:t>Implementation Guidance 17.9</w:t>
            </w:r>
            <w:r w:rsidRPr="006F6DDD">
              <w:rPr>
                <w:rFonts w:asciiTheme="majorHAnsi" w:hAnsiTheme="majorHAnsi" w:cstheme="majorHAnsi"/>
                <w:color w:val="000000"/>
                <w:sz w:val="22"/>
                <w:szCs w:val="22"/>
              </w:rPr>
              <w:t xml:space="preserve">: The dedicated Implementation Review Team should seek advice from experts in the field to develop an appropriate framework for analysis of metrics to evaluate the success of the Applicant Support Program. The Working Group identified a non-exhaustive list of potential data points to support further discussion in the implementation phase. The Working Group anticipates that the dedicated IRT will consider how </w:t>
            </w:r>
            <w:proofErr w:type="gramStart"/>
            <w:r w:rsidRPr="006F6DDD">
              <w:rPr>
                <w:rFonts w:asciiTheme="majorHAnsi" w:hAnsiTheme="majorHAnsi" w:cstheme="majorHAnsi"/>
                <w:color w:val="000000"/>
                <w:sz w:val="22"/>
                <w:szCs w:val="22"/>
              </w:rPr>
              <w:t>these</w:t>
            </w:r>
            <w:proofErr w:type="gramEnd"/>
            <w:r w:rsidRPr="006F6DDD">
              <w:rPr>
                <w:rFonts w:asciiTheme="majorHAnsi" w:hAnsiTheme="majorHAnsi" w:cstheme="majorHAnsi"/>
                <w:color w:val="000000"/>
                <w:sz w:val="22"/>
                <w:szCs w:val="22"/>
              </w:rPr>
              <w:t xml:space="preserve"> and other potential metrics may be prioritized:</w:t>
            </w:r>
          </w:p>
          <w:p w14:paraId="4274EC2A" w14:textId="77777777" w:rsidR="00B41C44" w:rsidRPr="006F6DDD" w:rsidRDefault="00B41C44" w:rsidP="00B41C44">
            <w:pPr>
              <w:pStyle w:val="NormalWeb"/>
              <w:numPr>
                <w:ilvl w:val="0"/>
                <w:numId w:val="4"/>
              </w:numPr>
              <w:spacing w:before="0" w:beforeAutospacing="0" w:after="0" w:afterAutospacing="0"/>
              <w:ind w:left="144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Awareness and Education:</w:t>
            </w:r>
          </w:p>
          <w:p w14:paraId="1A94E392"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outreach events and follow up communications with potential applicants</w:t>
            </w:r>
          </w:p>
          <w:p w14:paraId="5CEB297C"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lastRenderedPageBreak/>
              <w:t>level of awareness about the New gTLD Program/Applicant Support Program</w:t>
            </w:r>
          </w:p>
          <w:p w14:paraId="44A364E5"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enquiries about the program/level of interest expressed/number that considered applying</w:t>
            </w:r>
          </w:p>
          <w:p w14:paraId="4B627FC8"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applicants </w:t>
            </w:r>
          </w:p>
          <w:p w14:paraId="1CCCE64A" w14:textId="77777777" w:rsidR="00B41C44" w:rsidRPr="006F6DDD" w:rsidRDefault="00B41C44" w:rsidP="00B41C44">
            <w:pPr>
              <w:pStyle w:val="NormalWeb"/>
              <w:numPr>
                <w:ilvl w:val="2"/>
                <w:numId w:val="4"/>
              </w:numPr>
              <w:spacing w:before="0" w:beforeAutospacing="0" w:after="0" w:afterAutospacing="0"/>
              <w:ind w:left="288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first-time applicants versus repeat applicants</w:t>
            </w:r>
          </w:p>
          <w:p w14:paraId="7BAB550F" w14:textId="77777777" w:rsidR="00B41C44" w:rsidRPr="006F6DDD" w:rsidRDefault="00B41C44" w:rsidP="00B41C44">
            <w:pPr>
              <w:pStyle w:val="NormalWeb"/>
              <w:numPr>
                <w:ilvl w:val="2"/>
                <w:numId w:val="4"/>
              </w:numPr>
              <w:spacing w:before="0" w:beforeAutospacing="0" w:after="0" w:afterAutospacing="0"/>
              <w:ind w:left="288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applicants submitting a single application versus portfolio applicants</w:t>
            </w:r>
          </w:p>
          <w:p w14:paraId="76EB18C8" w14:textId="77777777" w:rsidR="00B41C44" w:rsidRPr="006F6DDD" w:rsidRDefault="00B41C44" w:rsidP="00B41C44">
            <w:pPr>
              <w:pStyle w:val="NormalWeb"/>
              <w:numPr>
                <w:ilvl w:val="2"/>
                <w:numId w:val="4"/>
              </w:numPr>
              <w:spacing w:before="0" w:beforeAutospacing="0" w:after="0" w:afterAutospacing="0"/>
              <w:ind w:left="288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 xml:space="preserve">applications based </w:t>
            </w:r>
            <w:proofErr w:type="gramStart"/>
            <w:r w:rsidRPr="006F6DDD">
              <w:rPr>
                <w:rFonts w:asciiTheme="majorHAnsi" w:hAnsiTheme="majorHAnsi" w:cstheme="majorHAnsi"/>
                <w:color w:val="000000"/>
                <w:sz w:val="22"/>
                <w:szCs w:val="22"/>
              </w:rPr>
              <w:t>on  pre</w:t>
            </w:r>
            <w:proofErr w:type="gramEnd"/>
            <w:r w:rsidRPr="006F6DDD">
              <w:rPr>
                <w:rFonts w:asciiTheme="majorHAnsi" w:hAnsiTheme="majorHAnsi" w:cstheme="majorHAnsi"/>
                <w:color w:val="000000"/>
                <w:sz w:val="22"/>
                <w:szCs w:val="22"/>
              </w:rPr>
              <w:t>-existing trademarks</w:t>
            </w:r>
          </w:p>
          <w:p w14:paraId="3422A612"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diversity and distribution of the applicant pool: geographic diversity, languages, scripts</w:t>
            </w:r>
          </w:p>
          <w:p w14:paraId="3049CC4B" w14:textId="77777777" w:rsidR="00B41C44" w:rsidRPr="006F6DDD" w:rsidRDefault="00B41C44" w:rsidP="00B41C44">
            <w:pPr>
              <w:pStyle w:val="NormalWeb"/>
              <w:numPr>
                <w:ilvl w:val="0"/>
                <w:numId w:val="4"/>
              </w:numPr>
              <w:spacing w:before="0" w:beforeAutospacing="0" w:after="0" w:afterAutospacing="0"/>
              <w:ind w:left="144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Other Elements of Program Implementation:</w:t>
            </w:r>
          </w:p>
          <w:p w14:paraId="1A2F253A"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ICANN staff members and contractors supporting the Applicant Support Program</w:t>
            </w:r>
          </w:p>
          <w:p w14:paraId="1DB3DC97"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service providers offering pro-bono assistance and value of assistance offered/provided</w:t>
            </w:r>
          </w:p>
          <w:p w14:paraId="18226161"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applicants accessing/using pro-bono assistance</w:t>
            </w:r>
          </w:p>
          <w:p w14:paraId="79FE7584"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approved applicants for financial assistance</w:t>
            </w:r>
          </w:p>
          <w:p w14:paraId="31EF3A65"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applicants who received bid credits, multiplier, other and were successful in auction</w:t>
            </w:r>
          </w:p>
          <w:p w14:paraId="41A00ED5"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the value of the bid credits, multiplier, other</w:t>
            </w:r>
          </w:p>
          <w:p w14:paraId="3465C890"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number of applicants who withdrew from auction</w:t>
            </w:r>
          </w:p>
          <w:p w14:paraId="3FCC0538"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 xml:space="preserve">number of applicants who entered </w:t>
            </w:r>
            <w:proofErr w:type="gramStart"/>
            <w:r w:rsidRPr="006F6DDD">
              <w:rPr>
                <w:rFonts w:asciiTheme="majorHAnsi" w:hAnsiTheme="majorHAnsi" w:cstheme="majorHAnsi"/>
                <w:color w:val="000000"/>
                <w:sz w:val="22"/>
                <w:szCs w:val="22"/>
              </w:rPr>
              <w:t>in to</w:t>
            </w:r>
            <w:proofErr w:type="gramEnd"/>
            <w:r w:rsidRPr="006F6DDD">
              <w:rPr>
                <w:rFonts w:asciiTheme="majorHAnsi" w:hAnsiTheme="majorHAnsi" w:cstheme="majorHAnsi"/>
                <w:color w:val="000000"/>
                <w:sz w:val="22"/>
                <w:szCs w:val="22"/>
              </w:rPr>
              <w:t xml:space="preserve"> a business combination or other forms of joint ventures</w:t>
            </w:r>
          </w:p>
          <w:p w14:paraId="10F10512"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length of time before any change of ownership occurred</w:t>
            </w:r>
          </w:p>
          <w:p w14:paraId="095C4135" w14:textId="77777777" w:rsidR="00B41C44" w:rsidRPr="006F6DDD" w:rsidRDefault="00B41C44" w:rsidP="00B41C44">
            <w:pPr>
              <w:pStyle w:val="NormalWeb"/>
              <w:numPr>
                <w:ilvl w:val="0"/>
                <w:numId w:val="4"/>
              </w:numPr>
              <w:spacing w:before="0" w:beforeAutospacing="0" w:after="0" w:afterAutospacing="0"/>
              <w:ind w:left="144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Success of Launched gTLD:</w:t>
            </w:r>
          </w:p>
          <w:p w14:paraId="333E548A" w14:textId="77777777" w:rsidR="00B41C44" w:rsidRPr="006F6DDD" w:rsidRDefault="00B41C44" w:rsidP="00B41C44">
            <w:pPr>
              <w:pStyle w:val="NormalWeb"/>
              <w:numPr>
                <w:ilvl w:val="1"/>
                <w:numId w:val="4"/>
              </w:numPr>
              <w:spacing w:before="0" w:beforeAutospacing="0" w:after="0" w:afterAutospacing="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The number of registrants of domain names registered in “regional” TLDs (e.g., TLDs focusing mainly on a local, limited market), keeping in mind that there are other barriers for registrants in developing countries to access domain names, such as inability to access online payment services and a lack of local registrars. </w:t>
            </w:r>
          </w:p>
          <w:p w14:paraId="793DF424" w14:textId="68D4F612" w:rsidR="00B41C44" w:rsidRDefault="00B41C44" w:rsidP="00B41C44">
            <w:pPr>
              <w:pStyle w:val="NormalWeb"/>
              <w:numPr>
                <w:ilvl w:val="1"/>
                <w:numId w:val="4"/>
              </w:numPr>
              <w:spacing w:after="0"/>
              <w:ind w:left="2160"/>
              <w:textAlignment w:val="baseline"/>
              <w:rPr>
                <w:rFonts w:asciiTheme="majorHAnsi" w:hAnsiTheme="majorHAnsi" w:cstheme="majorHAnsi"/>
                <w:color w:val="000000"/>
                <w:sz w:val="22"/>
                <w:szCs w:val="22"/>
              </w:rPr>
            </w:pPr>
            <w:r w:rsidRPr="006F6DDD">
              <w:rPr>
                <w:rFonts w:asciiTheme="majorHAnsi" w:hAnsiTheme="majorHAnsi" w:cstheme="majorHAnsi"/>
                <w:color w:val="000000"/>
                <w:sz w:val="22"/>
                <w:szCs w:val="22"/>
              </w:rPr>
              <w:t xml:space="preserve">The number of domain names registered in “regional” new gTLDs compared to the number of Internet users in such regions. These numbers could be compared with the same numbers for Internet users and “regional” new gTLDs in </w:t>
            </w:r>
            <w:r w:rsidRPr="006F6DDD">
              <w:rPr>
                <w:rFonts w:asciiTheme="majorHAnsi" w:hAnsiTheme="majorHAnsi" w:cstheme="majorHAnsi"/>
                <w:color w:val="000000"/>
                <w:sz w:val="22"/>
                <w:szCs w:val="22"/>
              </w:rPr>
              <w:lastRenderedPageBreak/>
              <w:t>developed regions such as Europe and North America.</w:t>
            </w:r>
          </w:p>
          <w:p w14:paraId="4CF108A6" w14:textId="59DBE454" w:rsidR="006C483D" w:rsidRPr="003024FE" w:rsidRDefault="00D64B83" w:rsidP="006C483D">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6C483D" w:rsidRPr="003024FE">
              <w:rPr>
                <w:rFonts w:asciiTheme="majorHAnsi" w:hAnsiTheme="majorHAnsi" w:cstheme="majorHAnsi"/>
                <w:b/>
                <w:bCs/>
                <w:color w:val="000000"/>
                <w:u w:val="single"/>
              </w:rPr>
              <w:t>asks:</w:t>
            </w:r>
          </w:p>
          <w:p w14:paraId="24035646" w14:textId="157CAF46" w:rsidR="0094716B" w:rsidRPr="003024FE" w:rsidRDefault="006C483D" w:rsidP="006C483D">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 xml:space="preserve">Task 5 </w:t>
            </w:r>
            <w:r w:rsidR="00581ADD" w:rsidRPr="003024FE">
              <w:rPr>
                <w:rFonts w:asciiTheme="majorHAnsi" w:hAnsiTheme="majorHAnsi" w:cstheme="majorHAnsi"/>
                <w:b/>
                <w:bCs/>
                <w:color w:val="000000"/>
              </w:rPr>
              <w:t>–</w:t>
            </w:r>
            <w:r w:rsidRPr="003024FE">
              <w:rPr>
                <w:rFonts w:asciiTheme="majorHAnsi" w:hAnsiTheme="majorHAnsi" w:cstheme="majorHAnsi"/>
                <w:b/>
                <w:bCs/>
                <w:color w:val="000000"/>
              </w:rPr>
              <w:t xml:space="preserve"> </w:t>
            </w:r>
            <w:r w:rsidR="00581ADD" w:rsidRPr="003024FE">
              <w:rPr>
                <w:rFonts w:asciiTheme="majorHAnsi" w:hAnsiTheme="majorHAnsi" w:cstheme="majorHAnsi"/>
                <w:b/>
                <w:bCs/>
                <w:color w:val="000000"/>
              </w:rPr>
              <w:t>Analyze the set of suggested metrics in Implementation Guidance 17.9 and propose which ones should be prioritized. The set of prioritized metrics is NOT limited to what is identified in 17.9</w:t>
            </w:r>
          </w:p>
          <w:p w14:paraId="595D852F" w14:textId="34F55234" w:rsidR="006C483D" w:rsidRPr="003024FE" w:rsidRDefault="0094716B" w:rsidP="006C483D">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Task 6 – In identifying the suggested set of metrics, propose how they can be measured, as well as what represents success.</w:t>
            </w:r>
          </w:p>
          <w:p w14:paraId="425F6870" w14:textId="17155076" w:rsidR="0094716B" w:rsidRPr="003024FE" w:rsidRDefault="0094716B" w:rsidP="00A30011">
            <w:pPr>
              <w:pStyle w:val="ListParagraph"/>
              <w:numPr>
                <w:ilvl w:val="0"/>
                <w:numId w:val="9"/>
              </w:numPr>
              <w:rPr>
                <w:rFonts w:asciiTheme="majorHAnsi" w:hAnsiTheme="majorHAnsi" w:cstheme="majorHAnsi"/>
                <w:b/>
                <w:bCs/>
                <w:color w:val="000000"/>
                <w:u w:val="single"/>
              </w:rPr>
            </w:pPr>
            <w:r w:rsidRPr="003024FE">
              <w:rPr>
                <w:rFonts w:asciiTheme="majorHAnsi" w:hAnsiTheme="majorHAnsi" w:cstheme="majorHAnsi"/>
                <w:b/>
                <w:bCs/>
                <w:color w:val="000000"/>
              </w:rPr>
              <w:t xml:space="preserve">Task 7 – Consider, and to the extent feasible, suggest how </w:t>
            </w:r>
            <w:r w:rsidR="007B4F22" w:rsidRPr="003024FE">
              <w:rPr>
                <w:rFonts w:asciiTheme="majorHAnsi" w:hAnsiTheme="majorHAnsi" w:cstheme="majorHAnsi"/>
                <w:b/>
                <w:bCs/>
                <w:color w:val="000000"/>
              </w:rPr>
              <w:t>the</w:t>
            </w:r>
            <w:r w:rsidR="007B4F22" w:rsidRPr="003024FE">
              <w:rPr>
                <w:rFonts w:asciiTheme="majorHAnsi" w:hAnsiTheme="majorHAnsi" w:cstheme="majorHAnsi"/>
                <w:b/>
                <w:bCs/>
                <w:color w:val="000000"/>
                <w:u w:val="single"/>
              </w:rPr>
              <w:t xml:space="preserve"> </w:t>
            </w:r>
            <w:r w:rsidRPr="003024FE">
              <w:rPr>
                <w:rFonts w:asciiTheme="majorHAnsi" w:hAnsiTheme="majorHAnsi" w:cstheme="majorHAnsi"/>
                <w:b/>
                <w:bCs/>
                <w:color w:val="000000"/>
              </w:rPr>
              <w:t>“outreach, education, business case development, and application evaluation”</w:t>
            </w:r>
            <w:r w:rsidR="007B4F22" w:rsidRPr="003024FE">
              <w:rPr>
                <w:rFonts w:asciiTheme="majorHAnsi" w:hAnsiTheme="majorHAnsi" w:cstheme="majorHAnsi"/>
                <w:b/>
                <w:bCs/>
                <w:color w:val="000000"/>
              </w:rPr>
              <w:t xml:space="preserve"> elements of the Applicant Support Program may</w:t>
            </w:r>
            <w:r w:rsidRPr="003024FE">
              <w:rPr>
                <w:rFonts w:asciiTheme="majorHAnsi" w:hAnsiTheme="majorHAnsi" w:cstheme="majorHAnsi"/>
                <w:b/>
                <w:bCs/>
                <w:color w:val="000000"/>
              </w:rPr>
              <w:t xml:space="preserve"> be impacted by </w:t>
            </w:r>
            <w:r w:rsidR="007B4F22" w:rsidRPr="003024FE">
              <w:rPr>
                <w:rFonts w:asciiTheme="majorHAnsi" w:hAnsiTheme="majorHAnsi" w:cstheme="majorHAnsi"/>
                <w:b/>
                <w:bCs/>
                <w:color w:val="000000"/>
              </w:rPr>
              <w:t>the identified metrics and measures of success. For example, based on the success metrics for Awareness and Education, this may impact the approach for performing outreach and education.</w:t>
            </w:r>
          </w:p>
          <w:p w14:paraId="208E0FE4" w14:textId="77777777" w:rsidR="006C483D" w:rsidRPr="00A30011" w:rsidRDefault="006C483D" w:rsidP="00A30011">
            <w:pPr>
              <w:rPr>
                <w:rFonts w:asciiTheme="majorHAnsi" w:hAnsiTheme="majorHAnsi" w:cstheme="majorHAnsi"/>
                <w:color w:val="000000"/>
                <w:u w:val="single"/>
              </w:rPr>
            </w:pPr>
          </w:p>
          <w:p w14:paraId="1555F051" w14:textId="188B053A" w:rsidR="00B41C44" w:rsidRDefault="00B41C44" w:rsidP="00B41C44">
            <w:pPr>
              <w:rPr>
                <w:rFonts w:asciiTheme="majorHAnsi" w:hAnsiTheme="majorHAnsi" w:cstheme="majorHAnsi"/>
                <w:color w:val="000000"/>
              </w:rPr>
            </w:pPr>
            <w:r w:rsidRPr="006F6DDD">
              <w:rPr>
                <w:rFonts w:asciiTheme="majorHAnsi" w:hAnsiTheme="majorHAnsi" w:cstheme="majorHAnsi"/>
                <w:color w:val="000000"/>
                <w:u w:val="single"/>
              </w:rPr>
              <w:t>Implementation Guidance 17.10</w:t>
            </w:r>
            <w:r w:rsidRPr="006F6DDD">
              <w:rPr>
                <w:rFonts w:asciiTheme="majorHAnsi" w:hAnsiTheme="majorHAnsi" w:cstheme="majorHAnsi"/>
                <w:color w:val="000000"/>
              </w:rPr>
              <w:t xml:space="preserve">: The dedicated Implementation Review Team should consider how to allocate financial support in the case that available funding cannot provide fee reductions to all applicants that meet the scoring requirement threshold. </w:t>
            </w:r>
          </w:p>
          <w:p w14:paraId="2854359F" w14:textId="6F3C909B" w:rsidR="00195BEC" w:rsidRDefault="00195BEC" w:rsidP="00B41C44">
            <w:pPr>
              <w:rPr>
                <w:rFonts w:asciiTheme="majorHAnsi" w:hAnsiTheme="majorHAnsi" w:cstheme="majorHAnsi"/>
                <w:color w:val="000000"/>
              </w:rPr>
            </w:pPr>
          </w:p>
          <w:p w14:paraId="01846BDF" w14:textId="6A974883" w:rsidR="007B4F22" w:rsidRPr="003024FE" w:rsidRDefault="00D64B83" w:rsidP="00B41C44">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7B4F22" w:rsidRPr="003024FE">
              <w:rPr>
                <w:rFonts w:asciiTheme="majorHAnsi" w:hAnsiTheme="majorHAnsi" w:cstheme="majorHAnsi"/>
                <w:b/>
                <w:bCs/>
                <w:color w:val="000000"/>
                <w:u w:val="single"/>
              </w:rPr>
              <w:t>asks:</w:t>
            </w:r>
          </w:p>
          <w:p w14:paraId="7C3760A7" w14:textId="3055A0B6" w:rsidR="00195BEC" w:rsidRPr="003024FE" w:rsidRDefault="007B4F22" w:rsidP="00A30011">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 xml:space="preserve">Task 8 - Recommend a methodology for allocating financial support </w:t>
            </w:r>
            <w:r w:rsidR="00D70418" w:rsidRPr="003024FE">
              <w:rPr>
                <w:rFonts w:asciiTheme="majorHAnsi" w:hAnsiTheme="majorHAnsi" w:cstheme="majorHAnsi"/>
                <w:b/>
                <w:bCs/>
                <w:color w:val="000000"/>
              </w:rPr>
              <w:t>where there is inadequate funding for all qualified applicants.</w:t>
            </w:r>
          </w:p>
          <w:p w14:paraId="4593BE76" w14:textId="6D8A4392" w:rsidR="00B41C44" w:rsidRPr="006F6DDD" w:rsidRDefault="00B41C44" w:rsidP="00210CBE">
            <w:pPr>
              <w:rPr>
                <w:rFonts w:asciiTheme="majorHAnsi" w:hAnsiTheme="majorHAnsi" w:cstheme="majorHAnsi"/>
                <w:b/>
                <w:bCs/>
                <w:color w:val="000000"/>
              </w:rPr>
            </w:pPr>
          </w:p>
          <w:p w14:paraId="3F6FC911" w14:textId="7DD78FA4" w:rsidR="007027C2" w:rsidRDefault="007027C2" w:rsidP="007027C2">
            <w:pPr>
              <w:rPr>
                <w:rFonts w:asciiTheme="majorHAnsi" w:hAnsiTheme="majorHAnsi" w:cstheme="majorHAnsi"/>
                <w:color w:val="000000"/>
              </w:rPr>
            </w:pPr>
            <w:r w:rsidRPr="006F6DDD">
              <w:rPr>
                <w:rFonts w:asciiTheme="majorHAnsi" w:hAnsiTheme="majorHAnsi" w:cstheme="majorHAnsi"/>
                <w:color w:val="000000"/>
                <w:u w:val="single"/>
              </w:rPr>
              <w:t>Implementation Guidance 28.10</w:t>
            </w:r>
            <w:r w:rsidRPr="006F6DDD">
              <w:rPr>
                <w:rFonts w:asciiTheme="majorHAnsi" w:hAnsiTheme="majorHAnsi" w:cstheme="majorHAnsi"/>
                <w:color w:val="000000"/>
              </w:rPr>
              <w:t xml:space="preserve">: The Implementation Review Team should develop guidelines about how public comments are to be utilized or </w:t>
            </w:r>
            <w:proofErr w:type="gramStart"/>
            <w:r w:rsidRPr="006F6DDD">
              <w:rPr>
                <w:rFonts w:asciiTheme="majorHAnsi" w:hAnsiTheme="majorHAnsi" w:cstheme="majorHAnsi"/>
                <w:color w:val="000000"/>
              </w:rPr>
              <w:t>taken into account</w:t>
            </w:r>
            <w:proofErr w:type="gramEnd"/>
            <w:r w:rsidRPr="006F6DDD">
              <w:rPr>
                <w:rFonts w:asciiTheme="majorHAnsi" w:hAnsiTheme="majorHAnsi" w:cstheme="majorHAnsi"/>
                <w:color w:val="000000"/>
              </w:rPr>
              <w:t xml:space="preserve"> by the relevant evaluators and panels, and these guidelines should be included in the Applicant Guidebook. The Applicant Guidebook should also be clear to what extent different types of comments will or will not impact scoring.</w:t>
            </w:r>
          </w:p>
          <w:p w14:paraId="51AE91F2" w14:textId="4014F589" w:rsidR="00D70418" w:rsidRDefault="00D70418" w:rsidP="007027C2">
            <w:pPr>
              <w:rPr>
                <w:rFonts w:asciiTheme="majorHAnsi" w:hAnsiTheme="majorHAnsi" w:cstheme="majorHAnsi"/>
                <w:color w:val="000000"/>
              </w:rPr>
            </w:pPr>
          </w:p>
          <w:p w14:paraId="7F1C569E" w14:textId="53D2290B" w:rsidR="00D70418" w:rsidRPr="003024FE" w:rsidRDefault="00D64B83" w:rsidP="007027C2">
            <w:pPr>
              <w:rPr>
                <w:rFonts w:asciiTheme="majorHAnsi" w:hAnsiTheme="majorHAnsi" w:cstheme="majorHAnsi"/>
                <w:b/>
                <w:bCs/>
                <w:color w:val="000000"/>
                <w:u w:val="single"/>
              </w:rPr>
            </w:pPr>
            <w:r w:rsidRPr="003024FE">
              <w:rPr>
                <w:rFonts w:asciiTheme="majorHAnsi" w:hAnsiTheme="majorHAnsi" w:cstheme="majorHAnsi"/>
                <w:b/>
                <w:bCs/>
                <w:color w:val="000000"/>
                <w:u w:val="single"/>
              </w:rPr>
              <w:t>T</w:t>
            </w:r>
            <w:r w:rsidR="00D70418" w:rsidRPr="003024FE">
              <w:rPr>
                <w:rFonts w:asciiTheme="majorHAnsi" w:hAnsiTheme="majorHAnsi" w:cstheme="majorHAnsi"/>
                <w:b/>
                <w:bCs/>
                <w:color w:val="000000"/>
                <w:u w:val="single"/>
              </w:rPr>
              <w:t>asks:</w:t>
            </w:r>
          </w:p>
          <w:p w14:paraId="4A0A3D9D" w14:textId="0606DE99" w:rsidR="00D70418" w:rsidRPr="003024FE" w:rsidRDefault="00D70418" w:rsidP="00A30011">
            <w:pPr>
              <w:pStyle w:val="ListParagraph"/>
              <w:numPr>
                <w:ilvl w:val="0"/>
                <w:numId w:val="9"/>
              </w:numPr>
              <w:rPr>
                <w:rFonts w:asciiTheme="majorHAnsi" w:hAnsiTheme="majorHAnsi" w:cstheme="majorHAnsi"/>
                <w:b/>
                <w:bCs/>
              </w:rPr>
            </w:pPr>
            <w:r w:rsidRPr="003024FE">
              <w:rPr>
                <w:rFonts w:asciiTheme="majorHAnsi" w:hAnsiTheme="majorHAnsi" w:cstheme="majorHAnsi"/>
                <w:b/>
                <w:bCs/>
              </w:rPr>
              <w:t xml:space="preserve">Task 9 – Review the 2012 Applicant Guidebook and New gTLD Program Implementation Review Report and identify any deficiencies in clarity for how public comments are utilized by evaluators and panels. To the extent deficiencies are identified, </w:t>
            </w:r>
            <w:r w:rsidRPr="003024FE">
              <w:rPr>
                <w:rFonts w:asciiTheme="majorHAnsi" w:hAnsiTheme="majorHAnsi" w:cstheme="majorHAnsi"/>
                <w:b/>
                <w:bCs/>
              </w:rPr>
              <w:lastRenderedPageBreak/>
              <w:t xml:space="preserve">recommend </w:t>
            </w:r>
            <w:r w:rsidR="00D64B83" w:rsidRPr="003024FE">
              <w:rPr>
                <w:rFonts w:asciiTheme="majorHAnsi" w:hAnsiTheme="majorHAnsi" w:cstheme="majorHAnsi"/>
                <w:b/>
                <w:bCs/>
              </w:rPr>
              <w:t>how those deficiencies can be mitigated through better guidance.</w:t>
            </w:r>
          </w:p>
          <w:p w14:paraId="0A74F4B5" w14:textId="77777777" w:rsidR="007027C2" w:rsidRPr="006F6DDD" w:rsidRDefault="007027C2" w:rsidP="002F36DD">
            <w:pPr>
              <w:rPr>
                <w:rFonts w:asciiTheme="majorHAnsi" w:hAnsiTheme="majorHAnsi" w:cstheme="majorHAnsi"/>
              </w:rPr>
            </w:pPr>
          </w:p>
          <w:p w14:paraId="6AAD7CB6" w14:textId="77777777" w:rsidR="00276C07" w:rsidRPr="006F6DDD" w:rsidRDefault="00276C07" w:rsidP="00276C07">
            <w:pPr>
              <w:rPr>
                <w:rFonts w:asciiTheme="majorHAnsi" w:hAnsiTheme="majorHAnsi" w:cstheme="majorHAnsi"/>
              </w:rPr>
            </w:pPr>
            <w:r w:rsidRPr="006F6DDD">
              <w:rPr>
                <w:rFonts w:asciiTheme="majorHAnsi" w:hAnsiTheme="majorHAnsi" w:cstheme="majorHAnsi"/>
                <w:color w:val="000000"/>
                <w:u w:val="single"/>
              </w:rPr>
              <w:t>Recommendation 31.15</w:t>
            </w:r>
            <w:r w:rsidRPr="006F6DDD">
              <w:rPr>
                <w:rFonts w:asciiTheme="majorHAnsi" w:hAnsiTheme="majorHAnsi" w:cstheme="majorHAnsi"/>
                <w:color w:val="000000"/>
              </w:rPr>
              <w:t xml:space="preserve"> The “quick look” mechanism, which applied to only the Limited Public Interest Objection in the 2012 round, must be developed by the Implementation Review Team for all formal objection types. The “quick look” is designed to identify and eliminate frivolous and/or abusive objections.</w:t>
            </w:r>
          </w:p>
          <w:p w14:paraId="58C02BFC" w14:textId="05701311" w:rsidR="00D64B83" w:rsidRDefault="00D64B83" w:rsidP="00210CBE">
            <w:pPr>
              <w:rPr>
                <w:rFonts w:asciiTheme="majorHAnsi" w:hAnsiTheme="majorHAnsi" w:cstheme="majorHAnsi"/>
                <w:b/>
                <w:bCs/>
                <w:color w:val="000000"/>
              </w:rPr>
            </w:pPr>
          </w:p>
          <w:p w14:paraId="3798138C" w14:textId="17479356" w:rsidR="00D64B83" w:rsidRPr="003024FE" w:rsidRDefault="00D64B83" w:rsidP="00210CBE">
            <w:pPr>
              <w:rPr>
                <w:rFonts w:asciiTheme="majorHAnsi" w:hAnsiTheme="majorHAnsi" w:cstheme="majorHAnsi"/>
                <w:b/>
                <w:bCs/>
                <w:color w:val="000000"/>
                <w:u w:val="single"/>
              </w:rPr>
            </w:pPr>
            <w:r w:rsidRPr="003024FE">
              <w:rPr>
                <w:rFonts w:asciiTheme="majorHAnsi" w:hAnsiTheme="majorHAnsi" w:cstheme="majorHAnsi"/>
                <w:b/>
                <w:bCs/>
                <w:color w:val="000000"/>
                <w:u w:val="single"/>
              </w:rPr>
              <w:t>Tasks:</w:t>
            </w:r>
          </w:p>
          <w:p w14:paraId="511D09DA" w14:textId="0333EB3B" w:rsidR="00D64B83" w:rsidRPr="003024FE" w:rsidRDefault="00D64B83" w:rsidP="00A30011">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 xml:space="preserve">Task 10 – </w:t>
            </w:r>
            <w:r w:rsidR="00236D8C" w:rsidRPr="003024FE">
              <w:rPr>
                <w:rFonts w:asciiTheme="majorHAnsi" w:hAnsiTheme="majorHAnsi" w:cstheme="majorHAnsi"/>
                <w:b/>
                <w:bCs/>
                <w:color w:val="000000"/>
              </w:rPr>
              <w:t>R</w:t>
            </w:r>
            <w:r w:rsidRPr="003024FE">
              <w:rPr>
                <w:rFonts w:asciiTheme="majorHAnsi" w:hAnsiTheme="majorHAnsi" w:cstheme="majorHAnsi"/>
                <w:b/>
                <w:bCs/>
                <w:color w:val="000000"/>
              </w:rPr>
              <w:t>ecommend criteria for identifying and determining what constitutes a frivolous and/or abusive objection for each of the four objection types, to employed during the “quick look” mechanisms.</w:t>
            </w:r>
          </w:p>
          <w:p w14:paraId="6E136745" w14:textId="77777777" w:rsidR="00D64B83" w:rsidRPr="006F6DDD" w:rsidRDefault="00D64B83" w:rsidP="00210CBE">
            <w:pPr>
              <w:rPr>
                <w:rFonts w:asciiTheme="majorHAnsi" w:hAnsiTheme="majorHAnsi" w:cstheme="majorHAnsi"/>
                <w:b/>
                <w:bCs/>
                <w:color w:val="000000"/>
              </w:rPr>
            </w:pPr>
          </w:p>
          <w:p w14:paraId="16AE94D8" w14:textId="77777777" w:rsidR="00F126B3" w:rsidRPr="00A56068" w:rsidRDefault="00F126B3" w:rsidP="00F126B3">
            <w:pPr>
              <w:rPr>
                <w:rFonts w:asciiTheme="majorHAnsi" w:hAnsiTheme="majorHAnsi" w:cstheme="majorHAnsi"/>
              </w:rPr>
            </w:pPr>
            <w:r w:rsidRPr="006F6DDD">
              <w:rPr>
                <w:rFonts w:asciiTheme="majorHAnsi" w:hAnsiTheme="majorHAnsi" w:cstheme="majorHAnsi"/>
                <w:color w:val="000000"/>
                <w:u w:val="single"/>
              </w:rPr>
              <w:t>Implementation Guidance 34.11:</w:t>
            </w:r>
            <w:r w:rsidRPr="006F6DDD">
              <w:rPr>
                <w:rFonts w:asciiTheme="majorHAnsi" w:hAnsiTheme="majorHAnsi" w:cstheme="majorHAnsi"/>
                <w:color w:val="000000"/>
              </w:rPr>
              <w:t xml:space="preserve"> The Working Group urges the Implementation Review Team to consider 1. Changing the passing score for achieving community priority status from a numerical score to a percentage of the total number of possible points and 2. Lowering the threshold for achieving community-based status from the 87.5% of the total available evaluation points (14 out of 16 points) as was the case in the 2012 round to 75-80% of the total available points.</w:t>
            </w:r>
            <w:r w:rsidRPr="00A56068">
              <w:rPr>
                <w:rFonts w:asciiTheme="majorHAnsi" w:hAnsiTheme="majorHAnsi" w:cstheme="majorHAnsi"/>
                <w:color w:val="000000"/>
                <w:u w:val="single"/>
              </w:rPr>
              <w:t xml:space="preserve"> </w:t>
            </w:r>
          </w:p>
          <w:p w14:paraId="6AB96C18" w14:textId="66D48BA5" w:rsidR="005D735A" w:rsidRDefault="005D735A" w:rsidP="00210CBE">
            <w:pPr>
              <w:rPr>
                <w:rFonts w:asciiTheme="majorHAnsi" w:hAnsiTheme="majorHAnsi" w:cstheme="majorHAnsi"/>
                <w:color w:val="000000"/>
                <w:u w:val="single"/>
              </w:rPr>
            </w:pPr>
          </w:p>
          <w:p w14:paraId="02FE2C8F" w14:textId="50F7E542" w:rsidR="00236D8C" w:rsidRPr="003024FE" w:rsidRDefault="00236D8C" w:rsidP="00210CBE">
            <w:pPr>
              <w:rPr>
                <w:rFonts w:asciiTheme="majorHAnsi" w:hAnsiTheme="majorHAnsi" w:cstheme="majorHAnsi"/>
                <w:b/>
                <w:bCs/>
                <w:color w:val="000000"/>
                <w:u w:val="single"/>
              </w:rPr>
            </w:pPr>
            <w:r w:rsidRPr="003024FE">
              <w:rPr>
                <w:rFonts w:asciiTheme="majorHAnsi" w:hAnsiTheme="majorHAnsi" w:cstheme="majorHAnsi"/>
                <w:b/>
                <w:bCs/>
                <w:color w:val="000000"/>
                <w:u w:val="single"/>
              </w:rPr>
              <w:t>Tasks:</w:t>
            </w:r>
          </w:p>
          <w:p w14:paraId="5123048B" w14:textId="7C1AC27C" w:rsidR="00236D8C" w:rsidRPr="003024FE" w:rsidRDefault="00236D8C" w:rsidP="00580D79">
            <w:pPr>
              <w:pStyle w:val="ListParagraph"/>
              <w:numPr>
                <w:ilvl w:val="0"/>
                <w:numId w:val="9"/>
              </w:numPr>
              <w:rPr>
                <w:rFonts w:asciiTheme="majorHAnsi" w:hAnsiTheme="majorHAnsi" w:cstheme="majorHAnsi"/>
                <w:b/>
                <w:bCs/>
                <w:color w:val="000000"/>
              </w:rPr>
            </w:pPr>
            <w:r w:rsidRPr="003024FE">
              <w:rPr>
                <w:rFonts w:asciiTheme="majorHAnsi" w:hAnsiTheme="majorHAnsi" w:cstheme="majorHAnsi"/>
                <w:b/>
                <w:bCs/>
                <w:color w:val="000000"/>
              </w:rPr>
              <w:t xml:space="preserve">Task 11 – Recommend </w:t>
            </w:r>
            <w:proofErr w:type="gramStart"/>
            <w:r w:rsidRPr="003024FE">
              <w:rPr>
                <w:rFonts w:asciiTheme="majorHAnsi" w:hAnsiTheme="majorHAnsi" w:cstheme="majorHAnsi"/>
                <w:b/>
                <w:bCs/>
                <w:color w:val="000000"/>
              </w:rPr>
              <w:t>whether or not</w:t>
            </w:r>
            <w:proofErr w:type="gramEnd"/>
            <w:r w:rsidRPr="003024FE">
              <w:rPr>
                <w:rFonts w:asciiTheme="majorHAnsi" w:hAnsiTheme="majorHAnsi" w:cstheme="majorHAnsi"/>
                <w:b/>
                <w:bCs/>
                <w:color w:val="000000"/>
              </w:rPr>
              <w:t xml:space="preserve"> the threshold for passing Community Priority Evaluation should be materially changed (e.g., from 87.5% to 75-80%). If recommending a material change, provide an impact analysis</w:t>
            </w:r>
            <w:r w:rsidR="00CC4292" w:rsidRPr="003024FE">
              <w:rPr>
                <w:rFonts w:asciiTheme="majorHAnsi" w:hAnsiTheme="majorHAnsi" w:cstheme="majorHAnsi"/>
                <w:b/>
                <w:bCs/>
                <w:color w:val="000000"/>
              </w:rPr>
              <w:t xml:space="preserve"> and detailed rationale for the change.</w:t>
            </w:r>
            <w:r w:rsidRPr="003024FE">
              <w:rPr>
                <w:rFonts w:asciiTheme="majorHAnsi" w:hAnsiTheme="majorHAnsi" w:cstheme="majorHAnsi"/>
                <w:b/>
                <w:bCs/>
                <w:color w:val="000000"/>
              </w:rPr>
              <w:t xml:space="preserve"> </w:t>
            </w:r>
          </w:p>
          <w:p w14:paraId="734C2E15" w14:textId="77777777" w:rsidR="00F126B3" w:rsidRDefault="00F126B3" w:rsidP="00210CBE">
            <w:pPr>
              <w:rPr>
                <w:rFonts w:asciiTheme="majorHAnsi" w:hAnsiTheme="majorHAnsi" w:cstheme="majorHAnsi"/>
                <w:b/>
                <w:bCs/>
                <w:color w:val="000000"/>
              </w:rPr>
            </w:pPr>
          </w:p>
          <w:p w14:paraId="4C3E4EC4" w14:textId="2095CB12" w:rsidR="005D735A" w:rsidRDefault="005D735A" w:rsidP="00210CBE">
            <w:pPr>
              <w:rPr>
                <w:rFonts w:asciiTheme="majorHAnsi" w:hAnsiTheme="majorHAnsi" w:cstheme="majorHAnsi"/>
                <w:b/>
                <w:bCs/>
                <w:color w:val="000000"/>
              </w:rPr>
            </w:pPr>
            <w:r w:rsidRPr="005D735A">
              <w:rPr>
                <w:rFonts w:asciiTheme="majorHAnsi" w:hAnsiTheme="majorHAnsi" w:cstheme="majorHAnsi"/>
                <w:b/>
                <w:bCs/>
                <w:color w:val="000000"/>
              </w:rPr>
              <w:t xml:space="preserve">Group 2: </w:t>
            </w:r>
          </w:p>
          <w:p w14:paraId="2D9C26D1" w14:textId="2D247DC9" w:rsidR="00A56068" w:rsidRDefault="00A56068" w:rsidP="00210CBE">
            <w:pPr>
              <w:rPr>
                <w:rFonts w:asciiTheme="majorHAnsi" w:hAnsiTheme="majorHAnsi" w:cstheme="majorHAnsi"/>
                <w:b/>
                <w:bCs/>
                <w:color w:val="000000"/>
              </w:rPr>
            </w:pPr>
          </w:p>
          <w:p w14:paraId="6BFA5AAA" w14:textId="76AD8DAF" w:rsidR="00DE6E4B" w:rsidRDefault="00DE6E4B" w:rsidP="00210CBE">
            <w:pPr>
              <w:rPr>
                <w:rFonts w:asciiTheme="majorHAnsi" w:hAnsiTheme="majorHAnsi" w:cstheme="majorHAnsi"/>
                <w:b/>
                <w:bCs/>
                <w:color w:val="000000"/>
              </w:rPr>
            </w:pPr>
            <w:r>
              <w:rPr>
                <w:rFonts w:asciiTheme="majorHAnsi" w:hAnsiTheme="majorHAnsi" w:cstheme="majorHAnsi"/>
                <w:b/>
                <w:bCs/>
                <w:color w:val="000000"/>
              </w:rPr>
              <w:t xml:space="preserve">The following Outputs are determined to require additional guidance to support the implementation of the relevant Outputs in the </w:t>
            </w:r>
            <w:proofErr w:type="spellStart"/>
            <w:r>
              <w:rPr>
                <w:rFonts w:asciiTheme="majorHAnsi" w:hAnsiTheme="majorHAnsi" w:cstheme="majorHAnsi"/>
                <w:b/>
                <w:bCs/>
                <w:color w:val="000000"/>
              </w:rPr>
              <w:t>SubPro</w:t>
            </w:r>
            <w:proofErr w:type="spellEnd"/>
            <w:r>
              <w:rPr>
                <w:rFonts w:asciiTheme="majorHAnsi" w:hAnsiTheme="majorHAnsi" w:cstheme="majorHAnsi"/>
                <w:b/>
                <w:bCs/>
                <w:color w:val="000000"/>
              </w:rPr>
              <w:t xml:space="preserve"> Final Report. The relevant Outputs from the </w:t>
            </w:r>
            <w:proofErr w:type="spellStart"/>
            <w:r>
              <w:rPr>
                <w:rFonts w:asciiTheme="majorHAnsi" w:hAnsiTheme="majorHAnsi" w:cstheme="majorHAnsi"/>
                <w:b/>
                <w:bCs/>
                <w:color w:val="000000"/>
              </w:rPr>
              <w:t>SubPro</w:t>
            </w:r>
            <w:proofErr w:type="spellEnd"/>
            <w:r>
              <w:rPr>
                <w:rFonts w:asciiTheme="majorHAnsi" w:hAnsiTheme="majorHAnsi" w:cstheme="majorHAnsi"/>
                <w:b/>
                <w:bCs/>
                <w:color w:val="000000"/>
              </w:rPr>
              <w:t xml:space="preserve"> Final Report are referenced and are accompanied by specific tasks to be performed by the GGP and represent the specific scope of work for Group 2.</w:t>
            </w:r>
          </w:p>
          <w:p w14:paraId="0D492CB5" w14:textId="77777777" w:rsidR="00DE6E4B" w:rsidRDefault="00DE6E4B" w:rsidP="00210CBE">
            <w:pPr>
              <w:rPr>
                <w:rFonts w:asciiTheme="majorHAnsi" w:hAnsiTheme="majorHAnsi" w:cstheme="majorHAnsi"/>
                <w:b/>
                <w:bCs/>
                <w:color w:val="000000"/>
              </w:rPr>
            </w:pPr>
          </w:p>
          <w:p w14:paraId="1D78E0B7" w14:textId="4DBCFCAF" w:rsidR="00276C07" w:rsidRDefault="00A56068" w:rsidP="000D365B">
            <w:pPr>
              <w:rPr>
                <w:rFonts w:asciiTheme="majorHAnsi" w:hAnsiTheme="majorHAnsi" w:cstheme="majorHAnsi"/>
                <w:b/>
                <w:bCs/>
                <w:color w:val="000000"/>
              </w:rPr>
            </w:pPr>
            <w:r>
              <w:rPr>
                <w:rFonts w:asciiTheme="majorHAnsi" w:hAnsiTheme="majorHAnsi" w:cstheme="majorHAnsi"/>
                <w:b/>
                <w:bCs/>
                <w:color w:val="000000"/>
              </w:rPr>
              <w:t>TBD</w:t>
            </w:r>
            <w:r w:rsidR="00580D79">
              <w:rPr>
                <w:rFonts w:asciiTheme="majorHAnsi" w:hAnsiTheme="majorHAnsi" w:cstheme="majorHAnsi"/>
                <w:b/>
                <w:bCs/>
                <w:color w:val="000000"/>
              </w:rPr>
              <w:t xml:space="preserve"> [</w:t>
            </w:r>
            <w:commentRangeStart w:id="0"/>
            <w:r w:rsidR="00374315">
              <w:rPr>
                <w:rFonts w:asciiTheme="majorHAnsi" w:hAnsiTheme="majorHAnsi" w:cstheme="majorHAnsi"/>
                <w:b/>
                <w:bCs/>
                <w:color w:val="000000"/>
                <w:highlight w:val="yellow"/>
              </w:rPr>
              <w:t>TOPICS/OUTPUTS AND CORRESPONDING QUESTIONS ARE DEPENDENT UPON INPUT FROM THE ODP TEAM</w:t>
            </w:r>
            <w:r w:rsidR="00580D79" w:rsidRPr="00580D79">
              <w:rPr>
                <w:rFonts w:asciiTheme="majorHAnsi" w:hAnsiTheme="majorHAnsi" w:cstheme="majorHAnsi"/>
                <w:b/>
                <w:bCs/>
                <w:color w:val="000000"/>
                <w:highlight w:val="yellow"/>
              </w:rPr>
              <w:t xml:space="preserve">. PLEASE IGNORE </w:t>
            </w:r>
            <w:r w:rsidR="00580D79">
              <w:rPr>
                <w:rFonts w:asciiTheme="majorHAnsi" w:hAnsiTheme="majorHAnsi" w:cstheme="majorHAnsi"/>
                <w:b/>
                <w:bCs/>
                <w:color w:val="000000"/>
                <w:highlight w:val="yellow"/>
              </w:rPr>
              <w:t xml:space="preserve">GROUP 2 </w:t>
            </w:r>
            <w:r w:rsidR="00580D79" w:rsidRPr="00580D79">
              <w:rPr>
                <w:rFonts w:asciiTheme="majorHAnsi" w:hAnsiTheme="majorHAnsi" w:cstheme="majorHAnsi"/>
                <w:b/>
                <w:bCs/>
                <w:color w:val="000000"/>
                <w:highlight w:val="yellow"/>
              </w:rPr>
              <w:t>FOR NOW.</w:t>
            </w:r>
            <w:commentRangeEnd w:id="0"/>
            <w:r w:rsidR="00EC5CC5">
              <w:rPr>
                <w:rStyle w:val="CommentReference"/>
              </w:rPr>
              <w:commentReference w:id="0"/>
            </w:r>
            <w:r w:rsidR="00580D79">
              <w:rPr>
                <w:rFonts w:asciiTheme="majorHAnsi" w:hAnsiTheme="majorHAnsi" w:cstheme="majorHAnsi"/>
                <w:b/>
                <w:bCs/>
                <w:color w:val="000000"/>
              </w:rPr>
              <w:t>]</w:t>
            </w:r>
          </w:p>
          <w:p w14:paraId="4DD1A13A" w14:textId="0260B2BE" w:rsidR="006F6DDD" w:rsidRDefault="006F6DDD" w:rsidP="000D365B">
            <w:pPr>
              <w:rPr>
                <w:rFonts w:asciiTheme="majorHAnsi" w:hAnsiTheme="majorHAnsi" w:cstheme="majorHAnsi"/>
                <w:b/>
                <w:bCs/>
                <w:color w:val="000000"/>
              </w:rPr>
            </w:pPr>
          </w:p>
          <w:p w14:paraId="33995AA5" w14:textId="77777777" w:rsidR="00D64B83" w:rsidRPr="006F6DDD" w:rsidRDefault="00D64B83" w:rsidP="00D70418">
            <w:pPr>
              <w:rPr>
                <w:rFonts w:asciiTheme="majorHAnsi" w:hAnsiTheme="majorHAnsi" w:cstheme="majorHAnsi"/>
                <w:color w:val="000000"/>
              </w:rPr>
            </w:pPr>
          </w:p>
          <w:p w14:paraId="71F2036D" w14:textId="77777777" w:rsidR="006F6DDD" w:rsidRPr="00580D79" w:rsidRDefault="006F6DDD" w:rsidP="000D365B">
            <w:pPr>
              <w:rPr>
                <w:rFonts w:asciiTheme="majorHAnsi" w:hAnsiTheme="majorHAnsi" w:cstheme="majorHAnsi"/>
                <w:color w:val="000000"/>
              </w:rPr>
            </w:pPr>
          </w:p>
          <w:p w14:paraId="76EC1C66" w14:textId="6068E21F" w:rsidR="00210CBE" w:rsidRDefault="00210CBE" w:rsidP="004A3852">
            <w:pPr>
              <w:keepNext/>
              <w:widowControl w:val="0"/>
              <w:spacing w:after="120"/>
              <w:rPr>
                <w:rFonts w:ascii="Calibri" w:eastAsia="Calibri" w:hAnsi="Calibri" w:cs="Calibri"/>
              </w:rPr>
            </w:pPr>
          </w:p>
        </w:tc>
      </w:tr>
      <w:tr w:rsidR="00A62ECA" w14:paraId="6BE8AB5B" w14:textId="77777777" w:rsidTr="00FA218B">
        <w:trPr>
          <w:trHeight w:val="1286"/>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71A6ABD1" w14:textId="5210CAA5" w:rsidR="00A62ECA" w:rsidRDefault="006330C7">
            <w:pPr>
              <w:spacing w:line="240" w:lineRule="auto"/>
              <w:rPr>
                <w:rFonts w:ascii="Calibri" w:eastAsia="Calibri" w:hAnsi="Calibri" w:cs="Calibri"/>
                <w:b/>
              </w:rPr>
            </w:pPr>
            <w:r>
              <w:rPr>
                <w:rFonts w:ascii="Calibri" w:eastAsia="Calibri" w:hAnsi="Calibri" w:cs="Calibri"/>
                <w:b/>
              </w:rPr>
              <w:lastRenderedPageBreak/>
              <w:t>4</w:t>
            </w:r>
            <w:r w:rsidR="00A62ECA">
              <w:rPr>
                <w:rFonts w:ascii="Calibri" w:eastAsia="Calibri" w:hAnsi="Calibri" w:cs="Calibri"/>
                <w:b/>
              </w:rPr>
              <w:t xml:space="preserve">. Proposed </w:t>
            </w:r>
            <w:r w:rsidR="009D3E8A">
              <w:rPr>
                <w:rFonts w:ascii="Calibri" w:eastAsia="Calibri" w:hAnsi="Calibri" w:cs="Calibri"/>
                <w:b/>
              </w:rPr>
              <w:t>W</w:t>
            </w:r>
            <w:r w:rsidR="00A62ECA">
              <w:rPr>
                <w:rFonts w:ascii="Calibri" w:eastAsia="Calibri" w:hAnsi="Calibri" w:cs="Calibri"/>
                <w:b/>
              </w:rPr>
              <w:t>G mechanism (e.g., WG, DT, individual volunteers)</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9B3B43" w14:textId="4E96E34C" w:rsidR="00CC4292" w:rsidRDefault="00AB1840">
            <w:pPr>
              <w:spacing w:after="200"/>
              <w:rPr>
                <w:rFonts w:ascii="Calibri" w:eastAsia="Calibri" w:hAnsi="Calibri" w:cs="Calibri"/>
              </w:rPr>
            </w:pPr>
            <w:r>
              <w:rPr>
                <w:rFonts w:ascii="Calibri" w:eastAsia="Calibri" w:hAnsi="Calibri" w:cs="Calibri"/>
              </w:rPr>
              <w:t xml:space="preserve">This </w:t>
            </w:r>
            <w:r w:rsidR="008A01AB">
              <w:rPr>
                <w:rFonts w:ascii="Calibri" w:eastAsia="Calibri" w:hAnsi="Calibri" w:cs="Calibri"/>
              </w:rPr>
              <w:t>GGP will operate as a</w:t>
            </w:r>
            <w:r w:rsidR="00C74E48">
              <w:rPr>
                <w:rFonts w:ascii="Calibri" w:eastAsia="Calibri" w:hAnsi="Calibri" w:cs="Calibri"/>
              </w:rPr>
              <w:t xml:space="preserve"> Steering Group with oversight over sub</w:t>
            </w:r>
            <w:r w:rsidR="00CC4292">
              <w:rPr>
                <w:rFonts w:ascii="Calibri" w:eastAsia="Calibri" w:hAnsi="Calibri" w:cs="Calibri"/>
              </w:rPr>
              <w:t>-</w:t>
            </w:r>
            <w:r w:rsidR="00C74E48">
              <w:rPr>
                <w:rFonts w:ascii="Calibri" w:eastAsia="Calibri" w:hAnsi="Calibri" w:cs="Calibri"/>
              </w:rPr>
              <w:t>teams</w:t>
            </w:r>
            <w:r w:rsidR="00CC4292">
              <w:rPr>
                <w:rFonts w:ascii="Calibri" w:eastAsia="Calibri" w:hAnsi="Calibri" w:cs="Calibri"/>
              </w:rPr>
              <w:t xml:space="preserve"> that may be</w:t>
            </w:r>
            <w:r w:rsidR="00C74E48">
              <w:rPr>
                <w:rFonts w:ascii="Calibri" w:eastAsia="Calibri" w:hAnsi="Calibri" w:cs="Calibri"/>
              </w:rPr>
              <w:t xml:space="preserve"> created on each </w:t>
            </w:r>
            <w:r w:rsidR="0077083F">
              <w:rPr>
                <w:rFonts w:ascii="Calibri" w:eastAsia="Calibri" w:hAnsi="Calibri" w:cs="Calibri"/>
              </w:rPr>
              <w:t xml:space="preserve">task or </w:t>
            </w:r>
            <w:r w:rsidR="00C74E48">
              <w:rPr>
                <w:rFonts w:ascii="Calibri" w:eastAsia="Calibri" w:hAnsi="Calibri" w:cs="Calibri"/>
              </w:rPr>
              <w:t>overall issue</w:t>
            </w:r>
            <w:r w:rsidR="00F27AB1">
              <w:rPr>
                <w:rFonts w:ascii="Calibri" w:eastAsia="Calibri" w:hAnsi="Calibri" w:cs="Calibri"/>
              </w:rPr>
              <w:t>.</w:t>
            </w:r>
          </w:p>
          <w:p w14:paraId="3E13E0CC" w14:textId="3C95EE37" w:rsidR="00F27AB1" w:rsidRDefault="00CC4292">
            <w:pPr>
              <w:spacing w:after="200"/>
              <w:rPr>
                <w:rFonts w:ascii="Calibri" w:eastAsia="Calibri" w:hAnsi="Calibri" w:cs="Calibri"/>
              </w:rPr>
            </w:pPr>
            <w:r>
              <w:rPr>
                <w:rFonts w:ascii="Calibri" w:eastAsia="Calibri" w:hAnsi="Calibri" w:cs="Calibri"/>
              </w:rPr>
              <w:t xml:space="preserve">The Steering Group, provided it possesses adequate expertise, may perform the task(s) itself. However, if the task(s) are better performed by Subject Matter Experts (SMEs), the Steering Group will be accountable and responsible for the </w:t>
            </w:r>
            <w:r w:rsidR="0077083F">
              <w:rPr>
                <w:rFonts w:ascii="Calibri" w:eastAsia="Calibri" w:hAnsi="Calibri" w:cs="Calibri"/>
              </w:rPr>
              <w:t>work to be performed by the SMEs.</w:t>
            </w:r>
            <w:r>
              <w:rPr>
                <w:rFonts w:ascii="Calibri" w:eastAsia="Calibri" w:hAnsi="Calibri" w:cs="Calibri"/>
              </w:rPr>
              <w:t xml:space="preserve"> </w:t>
            </w:r>
          </w:p>
          <w:p w14:paraId="3D4B8F30" w14:textId="79E970AF" w:rsidR="00DE6E4B" w:rsidRDefault="00DE6E4B">
            <w:pPr>
              <w:spacing w:after="200"/>
              <w:rPr>
                <w:rFonts w:ascii="Calibri" w:eastAsia="Calibri" w:hAnsi="Calibri" w:cs="Calibri"/>
              </w:rPr>
            </w:pPr>
            <w:r>
              <w:rPr>
                <w:rFonts w:ascii="Calibri" w:eastAsia="Calibri" w:hAnsi="Calibri" w:cs="Calibri"/>
              </w:rPr>
              <w:t>The Steering Group will serve in the roles as described for both Group 1 and Group 2.</w:t>
            </w:r>
          </w:p>
          <w:p w14:paraId="221A7434" w14:textId="78F15F78" w:rsidR="00F27AB1" w:rsidRDefault="00FE42C7" w:rsidP="00FE42C7">
            <w:pPr>
              <w:spacing w:after="200"/>
              <w:rPr>
                <w:rFonts w:ascii="Calibri" w:eastAsia="Calibri" w:hAnsi="Calibri" w:cs="Calibri"/>
              </w:rPr>
            </w:pPr>
            <w:r w:rsidRPr="00FE42C7">
              <w:rPr>
                <w:rFonts w:ascii="Calibri" w:eastAsia="Calibri" w:hAnsi="Calibri" w:cs="Calibri"/>
              </w:rPr>
              <w:t xml:space="preserve"> </w:t>
            </w:r>
          </w:p>
        </w:tc>
      </w:tr>
      <w:tr w:rsidR="00ED40D2" w14:paraId="3B5ED0AB" w14:textId="77777777" w:rsidTr="00FA218B">
        <w:trPr>
          <w:trHeight w:val="2420"/>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3A07E4E5" w14:textId="1BCEEF9D" w:rsidR="00ED40D2" w:rsidRDefault="006330C7">
            <w:pPr>
              <w:spacing w:line="240" w:lineRule="auto"/>
              <w:rPr>
                <w:rFonts w:ascii="Calibri" w:eastAsia="Calibri" w:hAnsi="Calibri" w:cs="Calibri"/>
                <w:b/>
              </w:rPr>
            </w:pPr>
            <w:r>
              <w:rPr>
                <w:rFonts w:ascii="Calibri" w:eastAsia="Calibri" w:hAnsi="Calibri" w:cs="Calibri"/>
                <w:b/>
              </w:rPr>
              <w:t>5</w:t>
            </w:r>
            <w:r w:rsidR="008C5630">
              <w:rPr>
                <w:rFonts w:ascii="Calibri" w:eastAsia="Calibri" w:hAnsi="Calibri" w:cs="Calibri"/>
                <w:b/>
              </w:rPr>
              <w:t xml:space="preserve">. </w:t>
            </w:r>
            <w:r w:rsidR="00A62ECA">
              <w:rPr>
                <w:rFonts w:ascii="Calibri" w:eastAsia="Calibri" w:hAnsi="Calibri" w:cs="Calibri"/>
                <w:b/>
              </w:rPr>
              <w:t>Method of operation, if different fr</w:t>
            </w:r>
            <w:r>
              <w:rPr>
                <w:rFonts w:ascii="Calibri" w:eastAsia="Calibri" w:hAnsi="Calibri" w:cs="Calibri"/>
                <w:b/>
              </w:rPr>
              <w:t>om GNSO Working Group Guidelines</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AAF392" w14:textId="365B50CA" w:rsidR="00AB1840" w:rsidRDefault="00AB1840" w:rsidP="00AB1840">
            <w:pPr>
              <w:rPr>
                <w:rFonts w:ascii="Calibri" w:eastAsia="Calibri" w:hAnsi="Calibri" w:cs="Calibri"/>
              </w:rPr>
            </w:pPr>
            <w:r>
              <w:rPr>
                <w:rFonts w:ascii="Calibri" w:eastAsia="Calibri" w:hAnsi="Calibri" w:cs="Calibri"/>
              </w:rPr>
              <w:t xml:space="preserve">This </w:t>
            </w:r>
            <w:r w:rsidR="004F67B7">
              <w:rPr>
                <w:rFonts w:ascii="Calibri" w:eastAsia="Calibri" w:hAnsi="Calibri" w:cs="Calibri"/>
              </w:rPr>
              <w:t xml:space="preserve">Steering Group </w:t>
            </w:r>
            <w:r>
              <w:rPr>
                <w:rFonts w:ascii="Calibri" w:eastAsia="Calibri" w:hAnsi="Calibri" w:cs="Calibri"/>
              </w:rPr>
              <w:t>will follow the method of operation as detailed in the GNSO Working Group Guidelines</w:t>
            </w:r>
            <w:r w:rsidR="00FE42C7">
              <w:rPr>
                <w:rFonts w:ascii="Calibri" w:eastAsia="Calibri" w:hAnsi="Calibri" w:cs="Calibri"/>
              </w:rPr>
              <w:t>, with the additional provisions below.</w:t>
            </w:r>
          </w:p>
          <w:p w14:paraId="55DC3E4E" w14:textId="7D4F21A1" w:rsidR="00FE42C7" w:rsidRDefault="00FE42C7" w:rsidP="00AB1840">
            <w:pPr>
              <w:rPr>
                <w:rFonts w:ascii="Calibri" w:eastAsia="Calibri" w:hAnsi="Calibri" w:cs="Calibri"/>
              </w:rPr>
            </w:pPr>
          </w:p>
          <w:p w14:paraId="6882D9CE" w14:textId="6F47A6D6" w:rsidR="00FE42C7" w:rsidRPr="00F27AB1" w:rsidRDefault="0077083F" w:rsidP="00FE42C7">
            <w:pPr>
              <w:spacing w:after="200"/>
              <w:rPr>
                <w:rFonts w:ascii="Calibri" w:eastAsia="Calibri" w:hAnsi="Calibri" w:cs="Calibri"/>
                <w:b/>
                <w:bCs/>
              </w:rPr>
            </w:pPr>
            <w:r>
              <w:rPr>
                <w:rFonts w:ascii="Calibri" w:eastAsia="Calibri" w:hAnsi="Calibri" w:cs="Calibri"/>
                <w:b/>
                <w:bCs/>
              </w:rPr>
              <w:t>Steering Group</w:t>
            </w:r>
            <w:r w:rsidR="00FE42C7" w:rsidRPr="00F27AB1">
              <w:rPr>
                <w:rFonts w:ascii="Calibri" w:eastAsia="Calibri" w:hAnsi="Calibri" w:cs="Calibri"/>
                <w:b/>
                <w:bCs/>
              </w:rPr>
              <w:t xml:space="preserve"> </w:t>
            </w:r>
            <w:r w:rsidR="00FE42C7">
              <w:rPr>
                <w:rFonts w:ascii="Calibri" w:eastAsia="Calibri" w:hAnsi="Calibri" w:cs="Calibri"/>
                <w:b/>
                <w:bCs/>
              </w:rPr>
              <w:t>Structure</w:t>
            </w:r>
            <w:r w:rsidR="00FE42C7" w:rsidRPr="00F27AB1">
              <w:rPr>
                <w:rFonts w:ascii="Calibri" w:eastAsia="Calibri" w:hAnsi="Calibri" w:cs="Calibri"/>
                <w:b/>
                <w:bCs/>
              </w:rPr>
              <w:t>:</w:t>
            </w:r>
          </w:p>
          <w:p w14:paraId="7EEA9397" w14:textId="5F9690C5" w:rsidR="00FE42C7" w:rsidRDefault="00FE42C7" w:rsidP="00FE42C7">
            <w:pPr>
              <w:spacing w:after="200"/>
              <w:rPr>
                <w:rFonts w:ascii="Calibri" w:eastAsia="Calibri" w:hAnsi="Calibri" w:cs="Calibri"/>
              </w:rPr>
            </w:pPr>
            <w:r>
              <w:rPr>
                <w:rFonts w:ascii="Calibri" w:eastAsia="Calibri" w:hAnsi="Calibri" w:cs="Calibri"/>
              </w:rPr>
              <w:t xml:space="preserve">The </w:t>
            </w:r>
            <w:r w:rsidR="0077083F">
              <w:rPr>
                <w:rFonts w:ascii="Calibri" w:eastAsia="Calibri" w:hAnsi="Calibri" w:cs="Calibri"/>
              </w:rPr>
              <w:t xml:space="preserve">Steering Group </w:t>
            </w:r>
            <w:r>
              <w:rPr>
                <w:rFonts w:ascii="Calibri" w:eastAsia="Calibri" w:hAnsi="Calibri" w:cs="Calibri"/>
              </w:rPr>
              <w:t>will employ a “Representative + Observers” model, consisting of Members and Observers.</w:t>
            </w:r>
          </w:p>
          <w:p w14:paraId="082D0D4E" w14:textId="1FEF64FE" w:rsidR="00FE42C7" w:rsidRDefault="00FE42C7" w:rsidP="00FE42C7">
            <w:pPr>
              <w:shd w:val="clear" w:color="auto" w:fill="FFFFFF"/>
              <w:rPr>
                <w:rFonts w:ascii="Calibri" w:eastAsia="Calibri" w:hAnsi="Calibri" w:cs="Calibri"/>
              </w:rPr>
            </w:pPr>
            <w:r w:rsidRPr="00771C21">
              <w:rPr>
                <w:rFonts w:ascii="Calibri" w:eastAsia="Calibri" w:hAnsi="Calibri" w:cs="Calibri"/>
              </w:rPr>
              <w:t>The “Representative + Observers” model</w:t>
            </w:r>
            <w:r>
              <w:rPr>
                <w:rFonts w:ascii="Calibri" w:eastAsia="Calibri" w:hAnsi="Calibri" w:cs="Calibri"/>
              </w:rPr>
              <w:t xml:space="preserve"> </w:t>
            </w:r>
            <w:r w:rsidRPr="00771C21">
              <w:rPr>
                <w:rFonts w:ascii="Calibri" w:eastAsia="Calibri" w:hAnsi="Calibri" w:cs="Calibri"/>
              </w:rPr>
              <w:t xml:space="preserve">is chosen to enable the </w:t>
            </w:r>
            <w:r w:rsidR="008D0DA3">
              <w:rPr>
                <w:rFonts w:ascii="Calibri" w:eastAsia="Calibri" w:hAnsi="Calibri" w:cs="Calibri"/>
              </w:rPr>
              <w:t>Steering Group</w:t>
            </w:r>
            <w:r w:rsidR="008D0DA3" w:rsidRPr="00771C21">
              <w:rPr>
                <w:rFonts w:ascii="Calibri" w:eastAsia="Calibri" w:hAnsi="Calibri" w:cs="Calibri"/>
              </w:rPr>
              <w:t xml:space="preserve"> </w:t>
            </w:r>
            <w:r w:rsidRPr="00771C21">
              <w:rPr>
                <w:rFonts w:ascii="Calibri" w:eastAsia="Calibri" w:hAnsi="Calibri" w:cs="Calibri"/>
              </w:rPr>
              <w:t>to conduct and</w:t>
            </w:r>
            <w:r>
              <w:rPr>
                <w:rFonts w:ascii="Calibri" w:eastAsia="Calibri" w:hAnsi="Calibri" w:cs="Calibri"/>
              </w:rPr>
              <w:t xml:space="preserve"> </w:t>
            </w:r>
            <w:r w:rsidRPr="00771C21">
              <w:rPr>
                <w:rFonts w:ascii="Calibri" w:eastAsia="Calibri" w:hAnsi="Calibri" w:cs="Calibri"/>
              </w:rPr>
              <w:t>conclude its work</w:t>
            </w:r>
            <w:r w:rsidR="008D0DA3">
              <w:rPr>
                <w:rFonts w:ascii="Calibri" w:eastAsia="Calibri" w:hAnsi="Calibri" w:cs="Calibri"/>
              </w:rPr>
              <w:t>, and oversight activities,</w:t>
            </w:r>
            <w:r w:rsidRPr="00771C21">
              <w:rPr>
                <w:rFonts w:ascii="Calibri" w:eastAsia="Calibri" w:hAnsi="Calibri" w:cs="Calibri"/>
              </w:rPr>
              <w:t xml:space="preserve"> in an efficient/effective manner while allowing for inclusive community participation.</w:t>
            </w:r>
            <w:r>
              <w:rPr>
                <w:rFonts w:ascii="Calibri" w:eastAsia="Calibri" w:hAnsi="Calibri" w:cs="Calibri"/>
              </w:rPr>
              <w:t xml:space="preserve"> </w:t>
            </w:r>
            <w:r w:rsidRPr="00771C21">
              <w:rPr>
                <w:rFonts w:ascii="Calibri" w:eastAsia="Calibri" w:hAnsi="Calibri" w:cs="Calibri"/>
              </w:rPr>
              <w:t xml:space="preserve">As this </w:t>
            </w:r>
            <w:r w:rsidR="008D0DA3">
              <w:rPr>
                <w:rFonts w:ascii="Calibri" w:eastAsia="Calibri" w:hAnsi="Calibri" w:cs="Calibri"/>
              </w:rPr>
              <w:t>GGP</w:t>
            </w:r>
            <w:r w:rsidR="008D0DA3" w:rsidRPr="00771C21">
              <w:rPr>
                <w:rFonts w:ascii="Calibri" w:eastAsia="Calibri" w:hAnsi="Calibri" w:cs="Calibri"/>
              </w:rPr>
              <w:t xml:space="preserve"> </w:t>
            </w:r>
            <w:r w:rsidRPr="00771C21">
              <w:rPr>
                <w:rFonts w:ascii="Calibri" w:eastAsia="Calibri" w:hAnsi="Calibri" w:cs="Calibri"/>
              </w:rPr>
              <w:t xml:space="preserve">builds on </w:t>
            </w:r>
            <w:r>
              <w:rPr>
                <w:rFonts w:ascii="Calibri" w:eastAsia="Calibri" w:hAnsi="Calibri" w:cs="Calibri"/>
              </w:rPr>
              <w:t xml:space="preserve">the </w:t>
            </w:r>
            <w:r w:rsidRPr="00771C21">
              <w:rPr>
                <w:rFonts w:ascii="Calibri" w:eastAsia="Calibri" w:hAnsi="Calibri" w:cs="Calibri"/>
              </w:rPr>
              <w:t xml:space="preserve">existing </w:t>
            </w:r>
            <w:r>
              <w:rPr>
                <w:rFonts w:ascii="Calibri" w:eastAsia="Calibri" w:hAnsi="Calibri" w:cs="Calibri"/>
              </w:rPr>
              <w:t xml:space="preserve">SubPro </w:t>
            </w:r>
            <w:r w:rsidRPr="00771C21">
              <w:rPr>
                <w:rFonts w:ascii="Calibri" w:eastAsia="Calibri" w:hAnsi="Calibri" w:cs="Calibri"/>
              </w:rPr>
              <w:t>work and is intended</w:t>
            </w:r>
            <w:r>
              <w:rPr>
                <w:rFonts w:ascii="Calibri" w:eastAsia="Calibri" w:hAnsi="Calibri" w:cs="Calibri"/>
              </w:rPr>
              <w:t xml:space="preserve"> </w:t>
            </w:r>
            <w:r w:rsidRPr="00771C21">
              <w:rPr>
                <w:rFonts w:ascii="Calibri" w:eastAsia="Calibri" w:hAnsi="Calibri" w:cs="Calibri"/>
              </w:rPr>
              <w:t>to conclude in an expeditious manner, Members</w:t>
            </w:r>
            <w:r>
              <w:rPr>
                <w:rFonts w:ascii="Calibri" w:eastAsia="Calibri" w:hAnsi="Calibri" w:cs="Calibri"/>
              </w:rPr>
              <w:t xml:space="preserve"> </w:t>
            </w:r>
            <w:r w:rsidRPr="00771C21">
              <w:rPr>
                <w:rFonts w:ascii="Calibri" w:eastAsia="Calibri" w:hAnsi="Calibri" w:cs="Calibri"/>
              </w:rPr>
              <w:t xml:space="preserve">must </w:t>
            </w:r>
            <w:r>
              <w:rPr>
                <w:rFonts w:ascii="Calibri" w:eastAsia="Calibri" w:hAnsi="Calibri" w:cs="Calibri"/>
              </w:rPr>
              <w:t xml:space="preserve">either </w:t>
            </w:r>
            <w:r w:rsidRPr="00771C21">
              <w:rPr>
                <w:rFonts w:ascii="Calibri" w:eastAsia="Calibri" w:hAnsi="Calibri" w:cs="Calibri"/>
              </w:rPr>
              <w:t xml:space="preserve">possess a level of expertise </w:t>
            </w:r>
            <w:r>
              <w:rPr>
                <w:rFonts w:ascii="Calibri" w:eastAsia="Calibri" w:hAnsi="Calibri" w:cs="Calibri"/>
              </w:rPr>
              <w:t>in previous deliberations and/or knowledge that may have been lacking during those initial deliberations.</w:t>
            </w:r>
          </w:p>
          <w:p w14:paraId="43643025" w14:textId="77777777" w:rsidR="00FE42C7" w:rsidRDefault="00FE42C7" w:rsidP="00FE42C7">
            <w:pPr>
              <w:shd w:val="clear" w:color="auto" w:fill="FFFFFF"/>
              <w:rPr>
                <w:rFonts w:ascii="Calibri" w:eastAsia="Calibri" w:hAnsi="Calibri" w:cs="Calibri"/>
              </w:rPr>
            </w:pPr>
          </w:p>
          <w:p w14:paraId="7597C7DE" w14:textId="77777777" w:rsidR="00FE42C7" w:rsidRPr="00771C21" w:rsidRDefault="00FE42C7" w:rsidP="00FE42C7">
            <w:pPr>
              <w:shd w:val="clear" w:color="auto" w:fill="FFFFFF"/>
              <w:rPr>
                <w:rFonts w:ascii="Calibri" w:eastAsia="Calibri" w:hAnsi="Calibri" w:cs="Calibri"/>
              </w:rPr>
            </w:pPr>
            <w:r>
              <w:rPr>
                <w:rFonts w:ascii="Calibri" w:eastAsia="Calibri" w:hAnsi="Calibri" w:cs="Calibri"/>
              </w:rPr>
              <w:t xml:space="preserve">The table below indicates the maximum number of Members and Alternates that groups may appoint. </w:t>
            </w:r>
          </w:p>
          <w:p w14:paraId="5ADB73FA" w14:textId="77777777" w:rsidR="00FE42C7" w:rsidRDefault="00FE42C7" w:rsidP="00FE42C7">
            <w:pPr>
              <w:spacing w:after="200"/>
              <w:rPr>
                <w:rFonts w:ascii="Calibri" w:eastAsia="Calibri" w:hAnsi="Calibri" w:cs="Calibri"/>
              </w:rPr>
            </w:pPr>
          </w:p>
          <w:tbl>
            <w:tblPr>
              <w:tblStyle w:val="TableGrid"/>
              <w:tblW w:w="0" w:type="auto"/>
              <w:tblLayout w:type="fixed"/>
              <w:tblLook w:val="04A0" w:firstRow="1" w:lastRow="0" w:firstColumn="1" w:lastColumn="0" w:noHBand="0" w:noVBand="1"/>
            </w:tblPr>
            <w:tblGrid>
              <w:gridCol w:w="2225"/>
              <w:gridCol w:w="1744"/>
              <w:gridCol w:w="1800"/>
            </w:tblGrid>
            <w:tr w:rsidR="00FE42C7" w14:paraId="5E48D09C" w14:textId="77777777" w:rsidTr="00023C33">
              <w:trPr>
                <w:trHeight w:val="332"/>
              </w:trPr>
              <w:tc>
                <w:tcPr>
                  <w:tcW w:w="2225" w:type="dxa"/>
                  <w:shd w:val="solid" w:color="8DB3E2" w:themeColor="text2" w:themeTint="66" w:fill="auto"/>
                </w:tcPr>
                <w:p w14:paraId="2FFD200D" w14:textId="77777777" w:rsidR="00FE42C7" w:rsidRPr="009F2992" w:rsidRDefault="00FE42C7" w:rsidP="00FE42C7">
                  <w:pPr>
                    <w:spacing w:after="200"/>
                    <w:jc w:val="center"/>
                    <w:rPr>
                      <w:rFonts w:ascii="Calibri" w:eastAsia="Calibri" w:hAnsi="Calibri" w:cs="Calibri"/>
                      <w:b/>
                      <w:bCs/>
                    </w:rPr>
                  </w:pPr>
                  <w:r w:rsidRPr="009F2992">
                    <w:rPr>
                      <w:rFonts w:ascii="Calibri" w:eastAsia="Calibri" w:hAnsi="Calibri" w:cs="Calibri"/>
                      <w:b/>
                      <w:bCs/>
                    </w:rPr>
                    <w:t>Group</w:t>
                  </w:r>
                </w:p>
              </w:tc>
              <w:tc>
                <w:tcPr>
                  <w:tcW w:w="1744" w:type="dxa"/>
                  <w:shd w:val="solid" w:color="8DB3E2" w:themeColor="text2" w:themeTint="66" w:fill="auto"/>
                </w:tcPr>
                <w:p w14:paraId="1CC37196" w14:textId="77777777" w:rsidR="00FE42C7" w:rsidRPr="009F2992" w:rsidRDefault="00FE42C7" w:rsidP="00FE42C7">
                  <w:pPr>
                    <w:spacing w:after="200"/>
                    <w:jc w:val="center"/>
                    <w:rPr>
                      <w:rFonts w:ascii="Calibri" w:eastAsia="Calibri" w:hAnsi="Calibri" w:cs="Calibri"/>
                      <w:b/>
                      <w:bCs/>
                    </w:rPr>
                  </w:pPr>
                  <w:r w:rsidRPr="009F2992">
                    <w:rPr>
                      <w:rFonts w:ascii="Calibri" w:eastAsia="Calibri" w:hAnsi="Calibri" w:cs="Calibri"/>
                      <w:b/>
                      <w:bCs/>
                    </w:rPr>
                    <w:t>Member (up to)</w:t>
                  </w:r>
                </w:p>
              </w:tc>
              <w:tc>
                <w:tcPr>
                  <w:tcW w:w="1800" w:type="dxa"/>
                  <w:shd w:val="solid" w:color="8DB3E2" w:themeColor="text2" w:themeTint="66" w:fill="auto"/>
                </w:tcPr>
                <w:p w14:paraId="10E93953" w14:textId="77777777" w:rsidR="00FE42C7" w:rsidRPr="009F2992" w:rsidRDefault="00FE42C7" w:rsidP="00FE42C7">
                  <w:pPr>
                    <w:spacing w:after="200"/>
                    <w:jc w:val="center"/>
                    <w:rPr>
                      <w:rFonts w:ascii="Calibri" w:eastAsia="Calibri" w:hAnsi="Calibri" w:cs="Calibri"/>
                      <w:b/>
                      <w:bCs/>
                    </w:rPr>
                  </w:pPr>
                  <w:r w:rsidRPr="009F2992">
                    <w:rPr>
                      <w:rFonts w:ascii="Calibri" w:eastAsia="Calibri" w:hAnsi="Calibri" w:cs="Calibri"/>
                      <w:b/>
                      <w:bCs/>
                    </w:rPr>
                    <w:t>Alternates (up to)</w:t>
                  </w:r>
                </w:p>
              </w:tc>
            </w:tr>
            <w:tr w:rsidR="00FE42C7" w14:paraId="205BECA9" w14:textId="77777777" w:rsidTr="00023C33">
              <w:tc>
                <w:tcPr>
                  <w:tcW w:w="2225" w:type="dxa"/>
                </w:tcPr>
                <w:p w14:paraId="2A77D800" w14:textId="77777777" w:rsidR="00FE42C7" w:rsidRDefault="00FE42C7" w:rsidP="00FE42C7">
                  <w:pPr>
                    <w:spacing w:after="200"/>
                    <w:rPr>
                      <w:rFonts w:ascii="Calibri" w:eastAsia="Calibri" w:hAnsi="Calibri" w:cs="Calibri"/>
                    </w:rPr>
                  </w:pPr>
                  <w:r>
                    <w:rPr>
                      <w:rFonts w:ascii="Calibri" w:eastAsia="Calibri" w:hAnsi="Calibri" w:cs="Calibri"/>
                    </w:rPr>
                    <w:t>RySG</w:t>
                  </w:r>
                </w:p>
              </w:tc>
              <w:tc>
                <w:tcPr>
                  <w:tcW w:w="1744" w:type="dxa"/>
                </w:tcPr>
                <w:p w14:paraId="52A63DFB"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4EA4B90C" w14:textId="29EDB13A"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50C7D8EC" w14:textId="77777777" w:rsidTr="00023C33">
              <w:tc>
                <w:tcPr>
                  <w:tcW w:w="2225" w:type="dxa"/>
                </w:tcPr>
                <w:p w14:paraId="0192C712" w14:textId="77777777" w:rsidR="00FE42C7" w:rsidRDefault="00FE42C7" w:rsidP="00FE42C7">
                  <w:pPr>
                    <w:spacing w:after="200"/>
                    <w:rPr>
                      <w:rFonts w:ascii="Calibri" w:eastAsia="Calibri" w:hAnsi="Calibri" w:cs="Calibri"/>
                    </w:rPr>
                  </w:pPr>
                  <w:r>
                    <w:rPr>
                      <w:rFonts w:ascii="Calibri" w:eastAsia="Calibri" w:hAnsi="Calibri" w:cs="Calibri"/>
                    </w:rPr>
                    <w:lastRenderedPageBreak/>
                    <w:t>RrSG</w:t>
                  </w:r>
                </w:p>
              </w:tc>
              <w:tc>
                <w:tcPr>
                  <w:tcW w:w="1744" w:type="dxa"/>
                </w:tcPr>
                <w:p w14:paraId="76EBAF70"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4AB65AD7" w14:textId="07C9D1CA"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5A6D3496" w14:textId="77777777" w:rsidTr="00023C33">
              <w:tc>
                <w:tcPr>
                  <w:tcW w:w="2225" w:type="dxa"/>
                </w:tcPr>
                <w:p w14:paraId="1DD9C861" w14:textId="77777777" w:rsidR="00FE42C7" w:rsidRDefault="00FE42C7" w:rsidP="00FE42C7">
                  <w:pPr>
                    <w:spacing w:after="200"/>
                    <w:rPr>
                      <w:rFonts w:ascii="Calibri" w:eastAsia="Calibri" w:hAnsi="Calibri" w:cs="Calibri"/>
                    </w:rPr>
                  </w:pPr>
                  <w:r>
                    <w:rPr>
                      <w:rFonts w:ascii="Calibri" w:eastAsia="Calibri" w:hAnsi="Calibri" w:cs="Calibri"/>
                    </w:rPr>
                    <w:t>CSG</w:t>
                  </w:r>
                </w:p>
              </w:tc>
              <w:tc>
                <w:tcPr>
                  <w:tcW w:w="1744" w:type="dxa"/>
                </w:tcPr>
                <w:p w14:paraId="46E8E144"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6F16D819" w14:textId="724E2B71"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5F0AD736" w14:textId="77777777" w:rsidTr="00023C33">
              <w:tc>
                <w:tcPr>
                  <w:tcW w:w="2225" w:type="dxa"/>
                </w:tcPr>
                <w:p w14:paraId="2A8741EC" w14:textId="77777777" w:rsidR="00FE42C7" w:rsidRDefault="00FE42C7" w:rsidP="00FE42C7">
                  <w:pPr>
                    <w:spacing w:after="200"/>
                    <w:rPr>
                      <w:rFonts w:ascii="Calibri" w:eastAsia="Calibri" w:hAnsi="Calibri" w:cs="Calibri"/>
                    </w:rPr>
                  </w:pPr>
                  <w:r>
                    <w:rPr>
                      <w:rFonts w:ascii="Calibri" w:eastAsia="Calibri" w:hAnsi="Calibri" w:cs="Calibri"/>
                    </w:rPr>
                    <w:t>NCSG</w:t>
                  </w:r>
                </w:p>
              </w:tc>
              <w:tc>
                <w:tcPr>
                  <w:tcW w:w="1744" w:type="dxa"/>
                </w:tcPr>
                <w:p w14:paraId="21F8D600"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62367A9D" w14:textId="4F7AFC4E"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60C07D89" w14:textId="77777777" w:rsidTr="00023C33">
              <w:tc>
                <w:tcPr>
                  <w:tcW w:w="2225" w:type="dxa"/>
                </w:tcPr>
                <w:p w14:paraId="3DEF2E53" w14:textId="77777777" w:rsidR="00FE42C7" w:rsidRDefault="00FE42C7" w:rsidP="00FE42C7">
                  <w:pPr>
                    <w:spacing w:after="200"/>
                    <w:rPr>
                      <w:rFonts w:ascii="Calibri" w:eastAsia="Calibri" w:hAnsi="Calibri" w:cs="Calibri"/>
                    </w:rPr>
                  </w:pPr>
                  <w:r>
                    <w:rPr>
                      <w:rFonts w:ascii="Calibri" w:eastAsia="Calibri" w:hAnsi="Calibri" w:cs="Calibri"/>
                    </w:rPr>
                    <w:t>ASO</w:t>
                  </w:r>
                </w:p>
              </w:tc>
              <w:tc>
                <w:tcPr>
                  <w:tcW w:w="1744" w:type="dxa"/>
                </w:tcPr>
                <w:p w14:paraId="1BD0FBB9"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3B55AC51" w14:textId="6FFC05B4"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32919F3F" w14:textId="77777777" w:rsidTr="00023C33">
              <w:tc>
                <w:tcPr>
                  <w:tcW w:w="2225" w:type="dxa"/>
                </w:tcPr>
                <w:p w14:paraId="539CD001" w14:textId="77777777" w:rsidR="00FE42C7" w:rsidRDefault="00FE42C7" w:rsidP="00FE42C7">
                  <w:pPr>
                    <w:spacing w:after="200"/>
                    <w:rPr>
                      <w:rFonts w:ascii="Calibri" w:eastAsia="Calibri" w:hAnsi="Calibri" w:cs="Calibri"/>
                    </w:rPr>
                  </w:pPr>
                  <w:proofErr w:type="spellStart"/>
                  <w:r>
                    <w:rPr>
                      <w:rFonts w:ascii="Calibri" w:eastAsia="Calibri" w:hAnsi="Calibri" w:cs="Calibri"/>
                    </w:rPr>
                    <w:t>ccNSO</w:t>
                  </w:r>
                  <w:proofErr w:type="spellEnd"/>
                </w:p>
              </w:tc>
              <w:tc>
                <w:tcPr>
                  <w:tcW w:w="1744" w:type="dxa"/>
                </w:tcPr>
                <w:p w14:paraId="41E48B08"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77B6957C" w14:textId="6503537A"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7EBB92AA" w14:textId="77777777" w:rsidTr="00023C33">
              <w:tc>
                <w:tcPr>
                  <w:tcW w:w="2225" w:type="dxa"/>
                </w:tcPr>
                <w:p w14:paraId="17970EA1" w14:textId="77777777" w:rsidR="00FE42C7" w:rsidRDefault="00FE42C7" w:rsidP="00FE42C7">
                  <w:pPr>
                    <w:spacing w:after="200"/>
                    <w:rPr>
                      <w:rFonts w:ascii="Calibri" w:eastAsia="Calibri" w:hAnsi="Calibri" w:cs="Calibri"/>
                    </w:rPr>
                  </w:pPr>
                  <w:r>
                    <w:rPr>
                      <w:rFonts w:ascii="Calibri" w:eastAsia="Calibri" w:hAnsi="Calibri" w:cs="Calibri"/>
                    </w:rPr>
                    <w:t>ALAC</w:t>
                  </w:r>
                </w:p>
              </w:tc>
              <w:tc>
                <w:tcPr>
                  <w:tcW w:w="1744" w:type="dxa"/>
                </w:tcPr>
                <w:p w14:paraId="1918E8B1"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6BA39C99" w14:textId="5D071EF9"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00961882" w14:textId="77777777" w:rsidTr="00023C33">
              <w:tc>
                <w:tcPr>
                  <w:tcW w:w="2225" w:type="dxa"/>
                </w:tcPr>
                <w:p w14:paraId="7CF671F9" w14:textId="77777777" w:rsidR="00FE42C7" w:rsidRDefault="00FE42C7" w:rsidP="00FE42C7">
                  <w:pPr>
                    <w:spacing w:after="200"/>
                    <w:rPr>
                      <w:rFonts w:ascii="Calibri" w:eastAsia="Calibri" w:hAnsi="Calibri" w:cs="Calibri"/>
                    </w:rPr>
                  </w:pPr>
                  <w:r>
                    <w:rPr>
                      <w:rFonts w:ascii="Calibri" w:eastAsia="Calibri" w:hAnsi="Calibri" w:cs="Calibri"/>
                    </w:rPr>
                    <w:t>GAC</w:t>
                  </w:r>
                </w:p>
              </w:tc>
              <w:tc>
                <w:tcPr>
                  <w:tcW w:w="1744" w:type="dxa"/>
                </w:tcPr>
                <w:p w14:paraId="157F6528"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53586135" w14:textId="753C1D2E"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74640C49" w14:textId="77777777" w:rsidTr="00023C33">
              <w:tc>
                <w:tcPr>
                  <w:tcW w:w="2225" w:type="dxa"/>
                </w:tcPr>
                <w:p w14:paraId="1936D612" w14:textId="77777777" w:rsidR="00FE42C7" w:rsidRDefault="00FE42C7" w:rsidP="00FE42C7">
                  <w:pPr>
                    <w:spacing w:after="200"/>
                    <w:rPr>
                      <w:rFonts w:ascii="Calibri" w:eastAsia="Calibri" w:hAnsi="Calibri" w:cs="Calibri"/>
                    </w:rPr>
                  </w:pPr>
                  <w:r>
                    <w:rPr>
                      <w:rFonts w:ascii="Calibri" w:eastAsia="Calibri" w:hAnsi="Calibri" w:cs="Calibri"/>
                    </w:rPr>
                    <w:t>SSAC</w:t>
                  </w:r>
                </w:p>
              </w:tc>
              <w:tc>
                <w:tcPr>
                  <w:tcW w:w="1744" w:type="dxa"/>
                </w:tcPr>
                <w:p w14:paraId="67BF35C6"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2D7ECBFA" w14:textId="0786733C" w:rsidR="00FE42C7" w:rsidRDefault="008D0DA3" w:rsidP="00FE42C7">
                  <w:pPr>
                    <w:spacing w:after="200"/>
                    <w:rPr>
                      <w:rFonts w:ascii="Calibri" w:eastAsia="Calibri" w:hAnsi="Calibri" w:cs="Calibri"/>
                    </w:rPr>
                  </w:pPr>
                  <w:r>
                    <w:rPr>
                      <w:rFonts w:ascii="Calibri" w:eastAsia="Calibri" w:hAnsi="Calibri" w:cs="Calibri"/>
                    </w:rPr>
                    <w:t>1</w:t>
                  </w:r>
                </w:p>
              </w:tc>
            </w:tr>
            <w:tr w:rsidR="00FE42C7" w14:paraId="4DF2A4F5" w14:textId="77777777" w:rsidTr="00023C33">
              <w:tc>
                <w:tcPr>
                  <w:tcW w:w="2225" w:type="dxa"/>
                </w:tcPr>
                <w:p w14:paraId="3D383DE3" w14:textId="77777777" w:rsidR="00FE42C7" w:rsidRDefault="00FE42C7" w:rsidP="00FE42C7">
                  <w:pPr>
                    <w:spacing w:after="200"/>
                    <w:rPr>
                      <w:rFonts w:ascii="Calibri" w:eastAsia="Calibri" w:hAnsi="Calibri" w:cs="Calibri"/>
                    </w:rPr>
                  </w:pPr>
                  <w:r>
                    <w:rPr>
                      <w:rFonts w:ascii="Calibri" w:eastAsia="Calibri" w:hAnsi="Calibri" w:cs="Calibri"/>
                    </w:rPr>
                    <w:t>RSSAC</w:t>
                  </w:r>
                </w:p>
              </w:tc>
              <w:tc>
                <w:tcPr>
                  <w:tcW w:w="1744" w:type="dxa"/>
                </w:tcPr>
                <w:p w14:paraId="31AB0090" w14:textId="77777777" w:rsidR="00FE42C7" w:rsidRDefault="00FE42C7" w:rsidP="00FE42C7">
                  <w:pPr>
                    <w:spacing w:after="200"/>
                    <w:rPr>
                      <w:rFonts w:ascii="Calibri" w:eastAsia="Calibri" w:hAnsi="Calibri" w:cs="Calibri"/>
                    </w:rPr>
                  </w:pPr>
                  <w:r>
                    <w:rPr>
                      <w:rFonts w:ascii="Calibri" w:eastAsia="Calibri" w:hAnsi="Calibri" w:cs="Calibri"/>
                    </w:rPr>
                    <w:t>2</w:t>
                  </w:r>
                </w:p>
              </w:tc>
              <w:tc>
                <w:tcPr>
                  <w:tcW w:w="1800" w:type="dxa"/>
                </w:tcPr>
                <w:p w14:paraId="084158A7" w14:textId="56262AF8" w:rsidR="00FE42C7" w:rsidRDefault="008D0DA3" w:rsidP="00FE42C7">
                  <w:pPr>
                    <w:spacing w:after="200"/>
                    <w:rPr>
                      <w:rFonts w:ascii="Calibri" w:eastAsia="Calibri" w:hAnsi="Calibri" w:cs="Calibri"/>
                    </w:rPr>
                  </w:pPr>
                  <w:r>
                    <w:rPr>
                      <w:rFonts w:ascii="Calibri" w:eastAsia="Calibri" w:hAnsi="Calibri" w:cs="Calibri"/>
                    </w:rPr>
                    <w:t>1</w:t>
                  </w:r>
                </w:p>
              </w:tc>
            </w:tr>
          </w:tbl>
          <w:p w14:paraId="70AF1DDF" w14:textId="77777777" w:rsidR="00FE42C7" w:rsidRDefault="00FE42C7" w:rsidP="00FE42C7">
            <w:pPr>
              <w:spacing w:after="200"/>
              <w:rPr>
                <w:rFonts w:ascii="Calibri" w:eastAsia="Calibri" w:hAnsi="Calibri" w:cs="Calibri"/>
              </w:rPr>
            </w:pPr>
          </w:p>
          <w:p w14:paraId="0919F02C" w14:textId="16D45C19" w:rsidR="00FE42C7" w:rsidRDefault="00FE42C7" w:rsidP="00FE42C7">
            <w:pPr>
              <w:spacing w:after="200"/>
              <w:rPr>
                <w:rFonts w:ascii="Calibri" w:eastAsia="Calibri" w:hAnsi="Calibri" w:cs="Calibri"/>
              </w:rPr>
            </w:pPr>
            <w:r w:rsidRPr="00F27AB1">
              <w:rPr>
                <w:rFonts w:ascii="Calibri" w:eastAsia="Calibri" w:hAnsi="Calibri" w:cs="Calibri"/>
                <w:b/>
                <w:bCs/>
              </w:rPr>
              <w:t>Members</w:t>
            </w:r>
            <w:r>
              <w:rPr>
                <w:rFonts w:ascii="Calibri" w:eastAsia="Calibri" w:hAnsi="Calibri" w:cs="Calibri"/>
              </w:rPr>
              <w:t xml:space="preserve"> are expected to participate during the course of deliberations</w:t>
            </w:r>
            <w:r w:rsidR="008D0DA3">
              <w:rPr>
                <w:rFonts w:ascii="Calibri" w:eastAsia="Calibri" w:hAnsi="Calibri" w:cs="Calibri"/>
              </w:rPr>
              <w:t xml:space="preserve"> as </w:t>
            </w:r>
            <w:proofErr w:type="gramStart"/>
            <w:r w:rsidR="008D0DA3">
              <w:rPr>
                <w:rFonts w:ascii="Calibri" w:eastAsia="Calibri" w:hAnsi="Calibri" w:cs="Calibri"/>
              </w:rPr>
              <w:t>applicable, or</w:t>
            </w:r>
            <w:proofErr w:type="gramEnd"/>
            <w:r w:rsidR="008D0DA3">
              <w:rPr>
                <w:rFonts w:ascii="Calibri" w:eastAsia="Calibri" w:hAnsi="Calibri" w:cs="Calibri"/>
              </w:rPr>
              <w:t xml:space="preserve"> provide oversight to the work of SMEs.</w:t>
            </w:r>
            <w:r>
              <w:rPr>
                <w:rFonts w:ascii="Calibri" w:eastAsia="Calibri" w:hAnsi="Calibri" w:cs="Calibri"/>
              </w:rPr>
              <w:t xml:space="preserve"> </w:t>
            </w:r>
            <w:r w:rsidR="008D0DA3">
              <w:rPr>
                <w:rFonts w:ascii="Calibri" w:eastAsia="Calibri" w:hAnsi="Calibri" w:cs="Calibri"/>
              </w:rPr>
              <w:t>Members will be responsible for participating in</w:t>
            </w:r>
            <w:r>
              <w:rPr>
                <w:rFonts w:ascii="Calibri" w:eastAsia="Calibri" w:hAnsi="Calibri" w:cs="Calibri"/>
              </w:rPr>
              <w:t xml:space="preserve"> </w:t>
            </w:r>
            <w:r w:rsidR="008D0DA3">
              <w:rPr>
                <w:rFonts w:ascii="Calibri" w:eastAsia="Calibri" w:hAnsi="Calibri" w:cs="Calibri"/>
              </w:rPr>
              <w:t xml:space="preserve">GGP </w:t>
            </w:r>
            <w:r>
              <w:rPr>
                <w:rFonts w:ascii="Calibri" w:eastAsia="Calibri" w:hAnsi="Calibri" w:cs="Calibri"/>
              </w:rPr>
              <w:t xml:space="preserve">consensus calls. Members are expected to represent the view of their appointing </w:t>
            </w:r>
            <w:proofErr w:type="gramStart"/>
            <w:r>
              <w:rPr>
                <w:rFonts w:ascii="Calibri" w:eastAsia="Calibri" w:hAnsi="Calibri" w:cs="Calibri"/>
              </w:rPr>
              <w:t>organization, and</w:t>
            </w:r>
            <w:proofErr w:type="gramEnd"/>
            <w:r>
              <w:rPr>
                <w:rFonts w:ascii="Calibri" w:eastAsia="Calibri" w:hAnsi="Calibri" w:cs="Calibri"/>
              </w:rPr>
              <w:t xml:space="preserve"> m</w:t>
            </w:r>
            <w:r w:rsidR="008D0DA3">
              <w:rPr>
                <w:rFonts w:ascii="Calibri" w:eastAsia="Calibri" w:hAnsi="Calibri" w:cs="Calibri"/>
              </w:rPr>
              <w:t>ay</w:t>
            </w:r>
            <w:r>
              <w:rPr>
                <w:rFonts w:ascii="Calibri" w:eastAsia="Calibri" w:hAnsi="Calibri" w:cs="Calibri"/>
              </w:rPr>
              <w:t xml:space="preserve"> be called on to provide the official position of their appointing organization.</w:t>
            </w:r>
          </w:p>
          <w:p w14:paraId="431F7AB6" w14:textId="1F83442B" w:rsidR="00FE42C7" w:rsidRDefault="00446F78" w:rsidP="00FE42C7">
            <w:pPr>
              <w:spacing w:after="200"/>
              <w:rPr>
                <w:rFonts w:ascii="Calibri" w:eastAsia="Calibri" w:hAnsi="Calibri" w:cs="Calibri"/>
              </w:rPr>
            </w:pPr>
            <w:r>
              <w:rPr>
                <w:rFonts w:ascii="Calibri" w:eastAsia="Calibri" w:hAnsi="Calibri" w:cs="Calibri"/>
              </w:rPr>
              <w:t>As described in Section 4, t</w:t>
            </w:r>
            <w:r w:rsidR="00FE42C7">
              <w:rPr>
                <w:rFonts w:ascii="Calibri" w:eastAsia="Calibri" w:hAnsi="Calibri" w:cs="Calibri"/>
              </w:rPr>
              <w:t xml:space="preserve">he </w:t>
            </w:r>
            <w:r>
              <w:rPr>
                <w:rFonts w:ascii="Calibri" w:eastAsia="Calibri" w:hAnsi="Calibri" w:cs="Calibri"/>
              </w:rPr>
              <w:t>Steering Group</w:t>
            </w:r>
            <w:r w:rsidR="008D0DA3">
              <w:rPr>
                <w:rFonts w:ascii="Calibri" w:eastAsia="Calibri" w:hAnsi="Calibri" w:cs="Calibri"/>
              </w:rPr>
              <w:t xml:space="preserve"> </w:t>
            </w:r>
            <w:r w:rsidR="00FE42C7">
              <w:rPr>
                <w:rFonts w:ascii="Calibri" w:eastAsia="Calibri" w:hAnsi="Calibri" w:cs="Calibri"/>
              </w:rPr>
              <w:t xml:space="preserve">has the flexibility/discretion to </w:t>
            </w:r>
            <w:r>
              <w:rPr>
                <w:rFonts w:ascii="Calibri" w:eastAsia="Calibri" w:hAnsi="Calibri" w:cs="Calibri"/>
              </w:rPr>
              <w:t>rely on</w:t>
            </w:r>
            <w:r w:rsidR="00FE42C7">
              <w:rPr>
                <w:rFonts w:ascii="Calibri" w:eastAsia="Calibri" w:hAnsi="Calibri" w:cs="Calibri"/>
              </w:rPr>
              <w:t xml:space="preserve"> </w:t>
            </w:r>
            <w:r w:rsidR="008D0DA3">
              <w:rPr>
                <w:rFonts w:ascii="Calibri" w:eastAsia="Calibri" w:hAnsi="Calibri" w:cs="Calibri"/>
                <w:b/>
                <w:bCs/>
              </w:rPr>
              <w:t>Subject Matter Experts</w:t>
            </w:r>
            <w:r w:rsidR="00FE42C7">
              <w:rPr>
                <w:rFonts w:ascii="Calibri" w:eastAsia="Calibri" w:hAnsi="Calibri" w:cs="Calibri"/>
              </w:rPr>
              <w:t xml:space="preserve"> </w:t>
            </w:r>
            <w:r>
              <w:rPr>
                <w:rFonts w:ascii="Calibri" w:eastAsia="Calibri" w:hAnsi="Calibri" w:cs="Calibri"/>
              </w:rPr>
              <w:t xml:space="preserve">(SMEs) </w:t>
            </w:r>
            <w:r w:rsidR="00FE42C7">
              <w:rPr>
                <w:rFonts w:ascii="Calibri" w:eastAsia="Calibri" w:hAnsi="Calibri" w:cs="Calibri"/>
              </w:rPr>
              <w:t xml:space="preserve">in specific fields to aid in deliberations for certain </w:t>
            </w:r>
            <w:r w:rsidR="008D0DA3">
              <w:rPr>
                <w:rFonts w:ascii="Calibri" w:eastAsia="Calibri" w:hAnsi="Calibri" w:cs="Calibri"/>
              </w:rPr>
              <w:t>tasks</w:t>
            </w:r>
            <w:r w:rsidR="00FE42C7">
              <w:rPr>
                <w:rFonts w:ascii="Calibri" w:eastAsia="Calibri" w:hAnsi="Calibri" w:cs="Calibri"/>
              </w:rPr>
              <w:t xml:space="preserve">. These </w:t>
            </w:r>
            <w:r w:rsidR="008D0DA3">
              <w:rPr>
                <w:rFonts w:ascii="Calibri" w:eastAsia="Calibri" w:hAnsi="Calibri" w:cs="Calibri"/>
              </w:rPr>
              <w:t>SMEs</w:t>
            </w:r>
            <w:r w:rsidR="00FE42C7">
              <w:rPr>
                <w:rFonts w:ascii="Calibri" w:eastAsia="Calibri" w:hAnsi="Calibri" w:cs="Calibri"/>
              </w:rPr>
              <w:t xml:space="preserve"> will not be considered as </w:t>
            </w:r>
            <w:r w:rsidR="00F15F78">
              <w:rPr>
                <w:rFonts w:ascii="Calibri" w:eastAsia="Calibri" w:hAnsi="Calibri" w:cs="Calibri"/>
              </w:rPr>
              <w:t>M</w:t>
            </w:r>
            <w:r w:rsidR="00FE42C7">
              <w:rPr>
                <w:rFonts w:ascii="Calibri" w:eastAsia="Calibri" w:hAnsi="Calibri" w:cs="Calibri"/>
              </w:rPr>
              <w:t>embers as captured in the table above.</w:t>
            </w:r>
            <w:r>
              <w:rPr>
                <w:rFonts w:ascii="Calibri" w:eastAsia="Calibri" w:hAnsi="Calibri" w:cs="Calibri"/>
              </w:rPr>
              <w:t xml:space="preserve"> The SMEs may perform some, the majority of, or </w:t>
            </w:r>
            <w:proofErr w:type="gramStart"/>
            <w:r>
              <w:rPr>
                <w:rFonts w:ascii="Calibri" w:eastAsia="Calibri" w:hAnsi="Calibri" w:cs="Calibri"/>
              </w:rPr>
              <w:t>all of</w:t>
            </w:r>
            <w:proofErr w:type="gramEnd"/>
            <w:r>
              <w:rPr>
                <w:rFonts w:ascii="Calibri" w:eastAsia="Calibri" w:hAnsi="Calibri" w:cs="Calibri"/>
              </w:rPr>
              <w:t xml:space="preserve"> the relevant work, but remain subject to the oversight of the Steering Group; in addition, any recommendations from the SMEs are ultimately subject to Steering Group consensus call.</w:t>
            </w:r>
          </w:p>
          <w:p w14:paraId="29B370D5" w14:textId="3EF2A8CA" w:rsidR="00FE42C7" w:rsidRDefault="00FE42C7" w:rsidP="00FE42C7">
            <w:pPr>
              <w:spacing w:after="200"/>
              <w:rPr>
                <w:rFonts w:ascii="Calibri" w:eastAsia="Calibri" w:hAnsi="Calibri" w:cs="Calibri"/>
              </w:rPr>
            </w:pPr>
            <w:r>
              <w:rPr>
                <w:rFonts w:ascii="Calibri" w:eastAsia="Calibri" w:hAnsi="Calibri" w:cs="Calibri"/>
              </w:rPr>
              <w:t xml:space="preserve">As this GGP is seeking to provide guidance to aid in the implementation of </w:t>
            </w:r>
            <w:proofErr w:type="spellStart"/>
            <w:r>
              <w:rPr>
                <w:rFonts w:ascii="Calibri" w:eastAsia="Calibri" w:hAnsi="Calibri" w:cs="Calibri"/>
              </w:rPr>
              <w:t>SubPro</w:t>
            </w:r>
            <w:proofErr w:type="spellEnd"/>
            <w:r>
              <w:rPr>
                <w:rFonts w:ascii="Calibri" w:eastAsia="Calibri" w:hAnsi="Calibri" w:cs="Calibri"/>
              </w:rPr>
              <w:t xml:space="preserve"> recommendations, the </w:t>
            </w:r>
            <w:r w:rsidR="00C53661">
              <w:rPr>
                <w:rFonts w:ascii="Calibri" w:eastAsia="Calibri" w:hAnsi="Calibri" w:cs="Calibri"/>
              </w:rPr>
              <w:t xml:space="preserve">Steering Group </w:t>
            </w:r>
            <w:r>
              <w:rPr>
                <w:rFonts w:ascii="Calibri" w:eastAsia="Calibri" w:hAnsi="Calibri" w:cs="Calibri"/>
              </w:rPr>
              <w:t xml:space="preserve">should seek the participation of one or more </w:t>
            </w:r>
            <w:r w:rsidRPr="00FE42C7">
              <w:rPr>
                <w:rFonts w:ascii="Calibri" w:eastAsia="Calibri" w:hAnsi="Calibri" w:cs="Calibri"/>
                <w:b/>
                <w:bCs/>
              </w:rPr>
              <w:t>ICANN Org Liaison</w:t>
            </w:r>
            <w:r>
              <w:rPr>
                <w:rFonts w:ascii="Calibri" w:eastAsia="Calibri" w:hAnsi="Calibri" w:cs="Calibri"/>
              </w:rPr>
              <w:t xml:space="preserve"> (e.g., from the Global Domains &amp; Strategy (GDS) department).</w:t>
            </w:r>
          </w:p>
          <w:p w14:paraId="63FC779D" w14:textId="77777777" w:rsidR="00FE42C7" w:rsidRDefault="00FE42C7" w:rsidP="00FE42C7">
            <w:pPr>
              <w:spacing w:after="200"/>
              <w:rPr>
                <w:rFonts w:ascii="Calibri" w:eastAsia="Calibri" w:hAnsi="Calibri" w:cs="Calibri"/>
              </w:rPr>
            </w:pPr>
            <w:r w:rsidRPr="00FE42C7">
              <w:rPr>
                <w:rFonts w:ascii="Calibri" w:eastAsia="Calibri" w:hAnsi="Calibri" w:cs="Calibri"/>
                <w:b/>
                <w:bCs/>
              </w:rPr>
              <w:t>Leadership Structure</w:t>
            </w:r>
            <w:r>
              <w:rPr>
                <w:rFonts w:ascii="Calibri" w:eastAsia="Calibri" w:hAnsi="Calibri" w:cs="Calibri"/>
              </w:rPr>
              <w:t>:</w:t>
            </w:r>
          </w:p>
          <w:p w14:paraId="6785B2E0" w14:textId="77777777" w:rsidR="00FE42C7" w:rsidRPr="00FE42C7" w:rsidRDefault="00FE42C7" w:rsidP="00FE42C7">
            <w:pPr>
              <w:spacing w:after="200"/>
              <w:rPr>
                <w:rFonts w:ascii="Calibri" w:eastAsia="Calibri" w:hAnsi="Calibri" w:cs="Calibri"/>
                <w:b/>
                <w:bCs/>
              </w:rPr>
            </w:pPr>
            <w:r w:rsidRPr="00FE42C7">
              <w:rPr>
                <w:rFonts w:ascii="Calibri" w:eastAsia="Calibri" w:hAnsi="Calibri" w:cs="Calibri"/>
                <w:b/>
                <w:bCs/>
              </w:rPr>
              <w:t>One (1) Chair</w:t>
            </w:r>
          </w:p>
          <w:p w14:paraId="5FCA21E3" w14:textId="252B8020" w:rsidR="00FE42C7" w:rsidRDefault="00FE42C7" w:rsidP="00FE42C7">
            <w:pPr>
              <w:rPr>
                <w:rFonts w:ascii="Calibri" w:eastAsia="Calibri" w:hAnsi="Calibri" w:cs="Calibri"/>
              </w:rPr>
            </w:pPr>
            <w:r w:rsidRPr="00FE42C7">
              <w:rPr>
                <w:rFonts w:ascii="Calibri" w:eastAsia="Calibri" w:hAnsi="Calibri" w:cs="Calibri"/>
              </w:rPr>
              <w:t xml:space="preserve">The GNSO Council will appoint one (1) qualified, independent Chair (neutral, not counted as from the </w:t>
            </w:r>
            <w:r w:rsidR="00C53661">
              <w:rPr>
                <w:rFonts w:ascii="Calibri" w:eastAsia="Calibri" w:hAnsi="Calibri" w:cs="Calibri"/>
              </w:rPr>
              <w:t>Steering Group</w:t>
            </w:r>
            <w:r w:rsidR="00C53661" w:rsidRPr="00FE42C7">
              <w:rPr>
                <w:rFonts w:ascii="Calibri" w:eastAsia="Calibri" w:hAnsi="Calibri" w:cs="Calibri"/>
              </w:rPr>
              <w:t xml:space="preserve"> </w:t>
            </w:r>
            <w:r w:rsidRPr="00FE42C7">
              <w:rPr>
                <w:rFonts w:ascii="Calibri" w:eastAsia="Calibri" w:hAnsi="Calibri" w:cs="Calibri"/>
              </w:rPr>
              <w:t xml:space="preserve">membership) for the </w:t>
            </w:r>
            <w:r w:rsidR="00C53661">
              <w:rPr>
                <w:rFonts w:ascii="Calibri" w:eastAsia="Calibri" w:hAnsi="Calibri" w:cs="Calibri"/>
              </w:rPr>
              <w:t>Steering Group</w:t>
            </w:r>
            <w:r w:rsidRPr="00FE42C7">
              <w:rPr>
                <w:rFonts w:ascii="Calibri" w:eastAsia="Calibri" w:hAnsi="Calibri" w:cs="Calibri"/>
              </w:rPr>
              <w:t>.</w:t>
            </w:r>
          </w:p>
          <w:p w14:paraId="02BA2D0C" w14:textId="54165180" w:rsidR="00FA218B" w:rsidRDefault="00FA218B">
            <w:pPr>
              <w:keepNext/>
              <w:widowControl w:val="0"/>
              <w:spacing w:before="120" w:after="120"/>
              <w:rPr>
                <w:rFonts w:ascii="Calibri" w:eastAsia="Calibri" w:hAnsi="Calibri" w:cs="Calibri"/>
              </w:rPr>
            </w:pPr>
          </w:p>
        </w:tc>
      </w:tr>
      <w:tr w:rsidR="00ED40D2" w14:paraId="0F0E7F08" w14:textId="77777777" w:rsidTr="00AB1840">
        <w:trPr>
          <w:trHeight w:val="1610"/>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3F780983" w14:textId="07BD2553" w:rsidR="00ED40D2" w:rsidRDefault="006330C7">
            <w:pPr>
              <w:spacing w:line="240" w:lineRule="auto"/>
              <w:rPr>
                <w:rFonts w:ascii="Calibri" w:eastAsia="Calibri" w:hAnsi="Calibri" w:cs="Calibri"/>
                <w:b/>
              </w:rPr>
            </w:pPr>
            <w:r>
              <w:rPr>
                <w:rFonts w:ascii="Calibri" w:eastAsia="Calibri" w:hAnsi="Calibri" w:cs="Calibri"/>
                <w:b/>
              </w:rPr>
              <w:lastRenderedPageBreak/>
              <w:t>6</w:t>
            </w:r>
            <w:r w:rsidR="008C5630">
              <w:rPr>
                <w:rFonts w:ascii="Calibri" w:eastAsia="Calibri" w:hAnsi="Calibri" w:cs="Calibri"/>
                <w:b/>
              </w:rPr>
              <w:t xml:space="preserve">. </w:t>
            </w:r>
            <w:r>
              <w:rPr>
                <w:rFonts w:ascii="Calibri" w:eastAsia="Calibri" w:hAnsi="Calibri" w:cs="Calibri"/>
                <w:b/>
              </w:rPr>
              <w:t>Decision-making methodology for GGP mechanism, if different from GNSO Working Group Guidelines</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AF1A74" w14:textId="002B8C6E" w:rsidR="00AB1840" w:rsidRDefault="00AB1840" w:rsidP="00AB1840">
            <w:pPr>
              <w:rPr>
                <w:rFonts w:ascii="Calibri" w:eastAsia="Calibri" w:hAnsi="Calibri" w:cs="Calibri"/>
                <w:b/>
              </w:rPr>
            </w:pPr>
            <w:r>
              <w:rPr>
                <w:rFonts w:ascii="Calibri" w:eastAsia="Calibri" w:hAnsi="Calibri" w:cs="Calibri"/>
              </w:rPr>
              <w:t xml:space="preserve">The GNSO Working Group Guidelines apply in full and Consensus designations are therefore the responsibility of the </w:t>
            </w:r>
            <w:r w:rsidR="00C53661">
              <w:rPr>
                <w:rFonts w:ascii="Calibri" w:eastAsia="Calibri" w:hAnsi="Calibri" w:cs="Calibri"/>
              </w:rPr>
              <w:t xml:space="preserve">Steering Group </w:t>
            </w:r>
            <w:r>
              <w:rPr>
                <w:rFonts w:ascii="Calibri" w:eastAsia="Calibri" w:hAnsi="Calibri" w:cs="Calibri"/>
              </w:rPr>
              <w:t>Chair and are to be made in accordance with the consensus levels described in Section 3.6 of the Working Group Guidelines.</w:t>
            </w:r>
          </w:p>
          <w:p w14:paraId="4B9699F9" w14:textId="77777777" w:rsidR="00AB1840" w:rsidRDefault="00AB1840" w:rsidP="00AB1840">
            <w:pPr>
              <w:rPr>
                <w:rFonts w:ascii="Calibri" w:eastAsia="Calibri" w:hAnsi="Calibri" w:cs="Calibri"/>
              </w:rPr>
            </w:pPr>
          </w:p>
          <w:p w14:paraId="6B9DCA62" w14:textId="2F9AAC6F" w:rsidR="00AB1840" w:rsidRDefault="00AB1840" w:rsidP="00AB1840">
            <w:pPr>
              <w:rPr>
                <w:rFonts w:ascii="Calibri" w:eastAsia="Calibri" w:hAnsi="Calibri" w:cs="Calibri"/>
                <w:highlight w:val="white"/>
              </w:rPr>
            </w:pPr>
            <w:r>
              <w:rPr>
                <w:rFonts w:ascii="Calibri" w:eastAsia="Calibri" w:hAnsi="Calibri" w:cs="Calibri"/>
              </w:rPr>
              <w:t xml:space="preserve">Notably, due to the “Representative + Observers” model of this </w:t>
            </w:r>
            <w:r w:rsidR="00C53661">
              <w:rPr>
                <w:rFonts w:ascii="Calibri" w:eastAsia="Calibri" w:hAnsi="Calibri" w:cs="Calibri"/>
              </w:rPr>
              <w:t>Steering Group</w:t>
            </w:r>
            <w:r>
              <w:rPr>
                <w:rFonts w:ascii="Calibri" w:eastAsia="Calibri" w:hAnsi="Calibri" w:cs="Calibri"/>
              </w:rPr>
              <w:t xml:space="preserve">, </w:t>
            </w:r>
            <w:r>
              <w:rPr>
                <w:rFonts w:ascii="Calibri" w:eastAsia="Calibri" w:hAnsi="Calibri" w:cs="Calibri"/>
                <w:highlight w:val="white"/>
              </w:rPr>
              <w:t>consensus calls or decisions are limited to Members who may consult as appropriate with their respective appointing organizations. However, for the purpose of assessing consensus, groups that do not fulfil their maximum membership allowance should not be disadvantaged.</w:t>
            </w:r>
          </w:p>
          <w:p w14:paraId="1F6A0525" w14:textId="77777777" w:rsidR="00AB1840" w:rsidRDefault="00AB1840" w:rsidP="00AB1840">
            <w:pPr>
              <w:rPr>
                <w:rFonts w:ascii="Calibri" w:eastAsia="Calibri" w:hAnsi="Calibri" w:cs="Calibri"/>
                <w:highlight w:val="white"/>
              </w:rPr>
            </w:pPr>
          </w:p>
          <w:p w14:paraId="41541384" w14:textId="2A1FF5D3" w:rsidR="00AB1840" w:rsidRDefault="00AB1840" w:rsidP="00AB1840">
            <w:pPr>
              <w:spacing w:after="240" w:line="240" w:lineRule="auto"/>
            </w:pPr>
            <w:r>
              <w:rPr>
                <w:rFonts w:ascii="Calibri" w:eastAsia="Calibri" w:hAnsi="Calibri" w:cs="Calibri"/>
                <w:highlight w:val="white"/>
              </w:rPr>
              <w:t xml:space="preserve">The </w:t>
            </w:r>
            <w:r w:rsidR="00C53661">
              <w:rPr>
                <w:rFonts w:ascii="Calibri" w:eastAsia="Calibri" w:hAnsi="Calibri" w:cs="Calibri"/>
                <w:highlight w:val="white"/>
              </w:rPr>
              <w:t xml:space="preserve">Steering Group </w:t>
            </w:r>
            <w:r>
              <w:rPr>
                <w:rFonts w:ascii="Calibri" w:eastAsia="Calibri" w:hAnsi="Calibri" w:cs="Calibri"/>
                <w:highlight w:val="white"/>
              </w:rPr>
              <w:t xml:space="preserve">Chair shall ensure that all perspectives are appropriately </w:t>
            </w:r>
            <w:proofErr w:type="gramStart"/>
            <w:r>
              <w:rPr>
                <w:rFonts w:ascii="Calibri" w:eastAsia="Calibri" w:hAnsi="Calibri" w:cs="Calibri"/>
                <w:highlight w:val="white"/>
              </w:rPr>
              <w:t>taken into account</w:t>
            </w:r>
            <w:proofErr w:type="gramEnd"/>
            <w:r>
              <w:rPr>
                <w:rFonts w:ascii="Calibri" w:eastAsia="Calibri" w:hAnsi="Calibri" w:cs="Calibri"/>
                <w:highlight w:val="white"/>
              </w:rPr>
              <w:t xml:space="preserve"> in assessing Consensus designations on the final guidance and/or recommendations.</w:t>
            </w:r>
          </w:p>
          <w:p w14:paraId="1B07A340" w14:textId="49DBF50F" w:rsidR="00ED40D2" w:rsidRDefault="00AB1840" w:rsidP="00AB1840">
            <w:pPr>
              <w:rPr>
                <w:rFonts w:ascii="Calibri" w:eastAsia="Calibri" w:hAnsi="Calibri" w:cs="Calibri"/>
              </w:rPr>
            </w:pPr>
            <w:r>
              <w:rPr>
                <w:rFonts w:ascii="Calibri" w:eastAsia="Calibri" w:hAnsi="Calibri" w:cs="Calibri"/>
              </w:rPr>
              <w:t xml:space="preserve">For consensus building purposes, the </w:t>
            </w:r>
            <w:r w:rsidR="00C53661">
              <w:rPr>
                <w:rFonts w:ascii="Calibri" w:eastAsia="Calibri" w:hAnsi="Calibri" w:cs="Calibri"/>
              </w:rPr>
              <w:t xml:space="preserve">Steering Group </w:t>
            </w:r>
            <w:r>
              <w:rPr>
                <w:rFonts w:ascii="Calibri" w:eastAsia="Calibri" w:hAnsi="Calibri" w:cs="Calibri"/>
              </w:rPr>
              <w:t xml:space="preserve">Chair, Members, and GNSO Council Liaison are expected to review the </w:t>
            </w:r>
            <w:hyperlink r:id="rId11">
              <w:r>
                <w:rPr>
                  <w:rFonts w:ascii="Calibri" w:eastAsia="Calibri" w:hAnsi="Calibri" w:cs="Calibri"/>
                  <w:color w:val="1155CC"/>
                  <w:u w:val="single"/>
                </w:rPr>
                <w:t>Consensus Playbook</w:t>
              </w:r>
            </w:hyperlink>
            <w:r>
              <w:rPr>
                <w:rFonts w:ascii="Calibri" w:eastAsia="Calibri" w:hAnsi="Calibri" w:cs="Calibri"/>
              </w:rPr>
              <w:t xml:space="preserve"> which provides practical tools and best practices to bridge differences, break deadlocks, and find common ground within ICANN processes; potential training related to the Consensus Playbook may be provided for </w:t>
            </w:r>
            <w:r w:rsidR="00C53661">
              <w:rPr>
                <w:rFonts w:ascii="Calibri" w:eastAsia="Calibri" w:hAnsi="Calibri" w:cs="Calibri"/>
              </w:rPr>
              <w:t xml:space="preserve">Steering Group </w:t>
            </w:r>
            <w:r>
              <w:rPr>
                <w:rFonts w:ascii="Calibri" w:eastAsia="Calibri" w:hAnsi="Calibri" w:cs="Calibri"/>
              </w:rPr>
              <w:t xml:space="preserve">Leadership, Members, and </w:t>
            </w:r>
            <w:r w:rsidR="00D73BD4">
              <w:rPr>
                <w:rFonts w:ascii="Calibri" w:eastAsia="Calibri" w:hAnsi="Calibri" w:cs="Calibri"/>
              </w:rPr>
              <w:t xml:space="preserve">the </w:t>
            </w:r>
            <w:r>
              <w:rPr>
                <w:rFonts w:ascii="Calibri" w:eastAsia="Calibri" w:hAnsi="Calibri" w:cs="Calibri"/>
              </w:rPr>
              <w:t xml:space="preserve">GNSO Council Liaison. </w:t>
            </w:r>
          </w:p>
        </w:tc>
      </w:tr>
      <w:tr w:rsidR="00ED40D2" w14:paraId="2461CCEF" w14:textId="77777777" w:rsidTr="00AB1840">
        <w:trPr>
          <w:trHeight w:val="980"/>
        </w:trPr>
        <w:tc>
          <w:tcPr>
            <w:tcW w:w="2475" w:type="dxa"/>
            <w:tcBorders>
              <w:top w:val="nil"/>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tcPr>
          <w:p w14:paraId="3A2C12E6" w14:textId="026A8BAC" w:rsidR="00ED40D2" w:rsidRDefault="006330C7">
            <w:pPr>
              <w:spacing w:line="240" w:lineRule="auto"/>
              <w:rPr>
                <w:rFonts w:ascii="Calibri" w:eastAsia="Calibri" w:hAnsi="Calibri" w:cs="Calibri"/>
                <w:b/>
              </w:rPr>
            </w:pPr>
            <w:r>
              <w:rPr>
                <w:rFonts w:ascii="Calibri" w:eastAsia="Calibri" w:hAnsi="Calibri" w:cs="Calibri"/>
                <w:b/>
              </w:rPr>
              <w:t>7</w:t>
            </w:r>
            <w:r w:rsidR="008C5630">
              <w:rPr>
                <w:rFonts w:ascii="Calibri" w:eastAsia="Calibri" w:hAnsi="Calibri" w:cs="Calibri"/>
                <w:b/>
              </w:rPr>
              <w:t xml:space="preserve">. </w:t>
            </w:r>
            <w:r>
              <w:rPr>
                <w:rFonts w:ascii="Calibri" w:eastAsia="Calibri" w:hAnsi="Calibri" w:cs="Calibri"/>
                <w:b/>
              </w:rPr>
              <w:t>Desired completion date and rationale for this date</w:t>
            </w:r>
          </w:p>
        </w:tc>
        <w:tc>
          <w:tcPr>
            <w:tcW w:w="6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DDD5D9" w14:textId="04D0FE22" w:rsidR="00ED40D2" w:rsidRDefault="00AB1840">
            <w:pPr>
              <w:rPr>
                <w:rFonts w:ascii="Calibri" w:eastAsia="Calibri" w:hAnsi="Calibri" w:cs="Calibri"/>
              </w:rPr>
            </w:pPr>
            <w:r>
              <w:rPr>
                <w:rFonts w:ascii="Calibri" w:eastAsia="Calibri" w:hAnsi="Calibri" w:cs="Calibri"/>
              </w:rPr>
              <w:t xml:space="preserve">The </w:t>
            </w:r>
            <w:r w:rsidR="00C53661">
              <w:rPr>
                <w:rFonts w:ascii="Calibri" w:eastAsia="Calibri" w:hAnsi="Calibri" w:cs="Calibri"/>
              </w:rPr>
              <w:t xml:space="preserve">Steering Group </w:t>
            </w:r>
            <w:r>
              <w:rPr>
                <w:rFonts w:ascii="Calibri" w:eastAsia="Calibri" w:hAnsi="Calibri" w:cs="Calibri"/>
              </w:rPr>
              <w:t xml:space="preserve">is expected to deliver its work plan to the GNSO Council as its first deliverable, which should be consistent with the expectations of the </w:t>
            </w:r>
            <w:r w:rsidR="00D73BD4">
              <w:rPr>
                <w:rFonts w:ascii="Calibri" w:eastAsia="Calibri" w:hAnsi="Calibri" w:cs="Calibri"/>
              </w:rPr>
              <w:t>WG</w:t>
            </w:r>
            <w:r w:rsidR="00E85FA6">
              <w:rPr>
                <w:rFonts w:ascii="Calibri" w:eastAsia="Calibri" w:hAnsi="Calibri" w:cs="Calibri"/>
              </w:rPr>
              <w:t>. However, the duration of this WG should not exceed the date by which the ICANN Board makes a decision on the Outputs from the New gTLD Subsequent Procedures Final Report.</w:t>
            </w:r>
          </w:p>
        </w:tc>
      </w:tr>
    </w:tbl>
    <w:p w14:paraId="6488C605" w14:textId="30E68ABD" w:rsidR="00ED40D2" w:rsidRDefault="008C5630">
      <w:pPr>
        <w:rPr>
          <w:rFonts w:ascii="Calibri" w:eastAsia="Calibri" w:hAnsi="Calibri" w:cs="Calibri"/>
          <w:sz w:val="24"/>
          <w:szCs w:val="24"/>
        </w:rPr>
      </w:pPr>
      <w:r>
        <w:rPr>
          <w:rFonts w:ascii="Calibri" w:eastAsia="Calibri" w:hAnsi="Calibri" w:cs="Calibri"/>
          <w:sz w:val="24"/>
          <w:szCs w:val="24"/>
        </w:rPr>
        <w:t xml:space="preserve"> </w:t>
      </w:r>
    </w:p>
    <w:p w14:paraId="17653181" w14:textId="2028E839" w:rsidR="008C6FA8" w:rsidRPr="008C6FA8" w:rsidRDefault="008C6FA8" w:rsidP="008C6FA8"/>
    <w:p w14:paraId="5C619BB0" w14:textId="279E85A2" w:rsidR="008C6FA8" w:rsidRPr="008C6FA8" w:rsidRDefault="008C6FA8" w:rsidP="008C6FA8"/>
    <w:p w14:paraId="07795166" w14:textId="54347CB6" w:rsidR="008C6FA8" w:rsidRPr="008C6FA8" w:rsidRDefault="008C6FA8" w:rsidP="008C6FA8"/>
    <w:p w14:paraId="7CA136F8" w14:textId="4FC6B4AA" w:rsidR="008C6FA8" w:rsidRPr="008C6FA8" w:rsidRDefault="008C6FA8" w:rsidP="008C6FA8"/>
    <w:p w14:paraId="150DBF3E" w14:textId="4B6E6D10" w:rsidR="008C6FA8" w:rsidRPr="008C6FA8" w:rsidRDefault="008C6FA8" w:rsidP="008C6FA8"/>
    <w:p w14:paraId="665AD9D9" w14:textId="46644E45" w:rsidR="008C6FA8" w:rsidRPr="008C6FA8" w:rsidRDefault="008C6FA8" w:rsidP="008C6FA8"/>
    <w:p w14:paraId="111B9140" w14:textId="699FF21B" w:rsidR="008C6FA8" w:rsidRPr="008C6FA8" w:rsidRDefault="008C6FA8" w:rsidP="008C6FA8">
      <w:pPr>
        <w:tabs>
          <w:tab w:val="left" w:pos="1913"/>
        </w:tabs>
      </w:pPr>
      <w:r>
        <w:lastRenderedPageBreak/>
        <w:tab/>
      </w:r>
    </w:p>
    <w:sectPr w:rsidR="008C6FA8" w:rsidRPr="008C6FA8">
      <w:headerReference w:type="default" r:id="rId12"/>
      <w:footerReference w:type="default" r:id="rId1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eve Chan" w:date="2022-04-28T10:10:00Z" w:initials="SC">
    <w:p w14:paraId="27C21442" w14:textId="77777777" w:rsidR="004C7D9D" w:rsidRDefault="00EC5CC5" w:rsidP="006145F4">
      <w:r>
        <w:rPr>
          <w:rStyle w:val="CommentReference"/>
        </w:rPr>
        <w:annotationRef/>
      </w:r>
      <w:r w:rsidR="004C7D9D">
        <w:rPr>
          <w:sz w:val="20"/>
          <w:szCs w:val="20"/>
        </w:rPr>
        <w:t>Potential areas:</w:t>
      </w:r>
      <w:r w:rsidR="004C7D9D">
        <w:rPr>
          <w:sz w:val="20"/>
          <w:szCs w:val="20"/>
        </w:rPr>
        <w:cr/>
        <w:t> </w:t>
      </w:r>
      <w:r w:rsidR="004C7D9D">
        <w:rPr>
          <w:sz w:val="20"/>
          <w:szCs w:val="20"/>
        </w:rPr>
        <w:cr/>
      </w:r>
      <w:r w:rsidR="004C7D9D">
        <w:rPr>
          <w:sz w:val="20"/>
          <w:szCs w:val="20"/>
          <w:u w:val="single"/>
        </w:rPr>
        <w:t>Implementation Guidance 9.6</w:t>
      </w:r>
      <w:r w:rsidR="004C7D9D">
        <w:rPr>
          <w:sz w:val="20"/>
          <w:szCs w:val="20"/>
        </w:rPr>
        <w:t>: During the evaluation process,  the details of which will be determined in the implementation phase. The panel should be composed of experts in regulated industries, who will also be empowered to draw on the input of other experts in relevant fields.</w:t>
      </w:r>
      <w:r w:rsidR="004C7D9D">
        <w:rPr>
          <w:sz w:val="20"/>
          <w:szCs w:val="20"/>
        </w:rPr>
        <w:cr/>
        <w:t> </w:t>
      </w:r>
      <w:r w:rsidR="004C7D9D">
        <w:rPr>
          <w:sz w:val="20"/>
          <w:szCs w:val="20"/>
        </w:rPr>
        <w:cr/>
      </w:r>
      <w:r w:rsidR="004C7D9D">
        <w:rPr>
          <w:sz w:val="20"/>
          <w:szCs w:val="20"/>
          <w:u w:val="single"/>
        </w:rPr>
        <w:t>Implementation Guidance 26.5</w:t>
      </w:r>
      <w:r w:rsidR="004C7D9D">
        <w:rPr>
          <w:sz w:val="20"/>
          <w:szCs w:val="20"/>
        </w:rPr>
        <w:t>: ICANN should structure its obligations to new gTLD registries so that it can delay their addition to the root zone in case of DNS service instabilities. Objective criteria should be developed to determine what could be classified as a “service instability.”</w:t>
      </w:r>
      <w:r w:rsidR="004C7D9D">
        <w:rPr>
          <w:sz w:val="20"/>
          <w:szCs w:val="20"/>
        </w:rPr>
        <w:cr/>
      </w:r>
      <w:r w:rsidR="004C7D9D">
        <w:rPr>
          <w:b/>
          <w:bCs/>
          <w:sz w:val="20"/>
          <w:szCs w:val="20"/>
        </w:rPr>
        <w:t> </w:t>
      </w:r>
      <w:r w:rsidR="004C7D9D">
        <w:rPr>
          <w:sz w:val="20"/>
          <w:szCs w:val="20"/>
        </w:rPr>
        <w:cr/>
      </w:r>
      <w:r w:rsidR="004C7D9D">
        <w:rPr>
          <w:sz w:val="20"/>
          <w:szCs w:val="20"/>
          <w:u w:val="single"/>
        </w:rPr>
        <w:t>Implementation Guidance 26.8</w:t>
      </w:r>
      <w:r w:rsidR="004C7D9D">
        <w:rPr>
          <w:sz w:val="20"/>
          <w:szCs w:val="20"/>
        </w:rPr>
        <w:t>: ICANN should continue to work with the community on mechanisms to monitor the root and develop procedures to ensure that any root zone scaling issues are detected in a timely manner.</w:t>
      </w:r>
      <w:r w:rsidR="004C7D9D">
        <w:rPr>
          <w:sz w:val="20"/>
          <w:szCs w:val="20"/>
        </w:rPr>
        <w:cr/>
        <w:t> </w:t>
      </w:r>
      <w:r w:rsidR="004C7D9D">
        <w:rPr>
          <w:sz w:val="20"/>
          <w:szCs w:val="20"/>
        </w:rPr>
        <w:cr/>
      </w:r>
      <w:r w:rsidR="004C7D9D">
        <w:rPr>
          <w:sz w:val="20"/>
          <w:szCs w:val="20"/>
          <w:u w:val="single"/>
        </w:rPr>
        <w:t>Implementation Guidance 29.5</w:t>
      </w:r>
      <w:r w:rsidR="004C7D9D">
        <w:rPr>
          <w:sz w:val="20"/>
          <w:szCs w:val="20"/>
        </w:rPr>
        <w:t>: The ICANN community should develop name collision risk criteria and a test to provide information to an applicant for any given string after the application window closes so that the applicant can determine if they should move forward with evaluation.</w:t>
      </w:r>
      <w:r w:rsidR="004C7D9D">
        <w:rPr>
          <w:sz w:val="20"/>
          <w:szCs w:val="20"/>
        </w:rPr>
        <w:cr/>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C214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4E6AA" w16cex:dateUtc="2022-04-28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C21442" w16cid:durableId="2614E6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3729C" w14:textId="77777777" w:rsidR="009D77B2" w:rsidRDefault="009D77B2">
      <w:pPr>
        <w:spacing w:line="240" w:lineRule="auto"/>
      </w:pPr>
      <w:r>
        <w:separator/>
      </w:r>
    </w:p>
  </w:endnote>
  <w:endnote w:type="continuationSeparator" w:id="0">
    <w:p w14:paraId="67D4EF77" w14:textId="77777777" w:rsidR="009D77B2" w:rsidRDefault="009D77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B955" w14:textId="77777777" w:rsidR="00ED40D2" w:rsidRDefault="008C5630">
    <w:pPr>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FF55E9">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87C9D" w14:textId="77777777" w:rsidR="009D77B2" w:rsidRDefault="009D77B2">
      <w:pPr>
        <w:spacing w:line="240" w:lineRule="auto"/>
      </w:pPr>
      <w:r>
        <w:separator/>
      </w:r>
    </w:p>
  </w:footnote>
  <w:footnote w:type="continuationSeparator" w:id="0">
    <w:p w14:paraId="42E0396E" w14:textId="77777777" w:rsidR="009D77B2" w:rsidRDefault="009D77B2">
      <w:pPr>
        <w:spacing w:line="240" w:lineRule="auto"/>
      </w:pPr>
      <w:r>
        <w:continuationSeparator/>
      </w:r>
    </w:p>
  </w:footnote>
  <w:footnote w:id="1">
    <w:p w14:paraId="405CBD84" w14:textId="10823BF2" w:rsidR="008C6FA8" w:rsidRPr="008C6FA8" w:rsidRDefault="008C6FA8" w:rsidP="008C6FA8">
      <w:pPr>
        <w:rPr>
          <w:rFonts w:asciiTheme="majorHAnsi" w:hAnsiTheme="majorHAnsi" w:cstheme="majorHAnsi"/>
          <w:sz w:val="18"/>
          <w:szCs w:val="18"/>
        </w:rPr>
      </w:pPr>
      <w:r w:rsidRPr="008C6FA8">
        <w:rPr>
          <w:rStyle w:val="FootnoteReference"/>
          <w:rFonts w:asciiTheme="majorHAnsi" w:hAnsiTheme="majorHAnsi" w:cstheme="majorHAnsi"/>
          <w:sz w:val="18"/>
          <w:szCs w:val="18"/>
        </w:rPr>
        <w:footnoteRef/>
      </w:r>
      <w:r w:rsidRPr="008C6FA8">
        <w:rPr>
          <w:rFonts w:asciiTheme="majorHAnsi" w:hAnsiTheme="majorHAnsi" w:cstheme="majorHAnsi"/>
          <w:sz w:val="18"/>
          <w:szCs w:val="18"/>
        </w:rPr>
        <w:t xml:space="preserve"> </w:t>
      </w:r>
      <w:r w:rsidRPr="008C6FA8">
        <w:rPr>
          <w:rFonts w:asciiTheme="majorHAnsi" w:eastAsia="Calibri" w:hAnsiTheme="majorHAnsi" w:cstheme="majorHAnsi"/>
          <w:sz w:val="18"/>
          <w:szCs w:val="18"/>
        </w:rPr>
        <w:t xml:space="preserve">See GNSO Operating Procedures Annex 5 – GNSO Guidance Process Manual, section 3: </w:t>
      </w:r>
      <w:hyperlink r:id="rId1" w:history="1">
        <w:r w:rsidRPr="008C6FA8">
          <w:rPr>
            <w:rStyle w:val="Hyperlink"/>
            <w:rFonts w:asciiTheme="majorHAnsi" w:hAnsiTheme="majorHAnsi" w:cstheme="majorHAnsi"/>
            <w:sz w:val="18"/>
            <w:szCs w:val="18"/>
          </w:rPr>
          <w:t>https://gnso.icann.org/sites/default/files/file/field-file-attach/annex-5-ggp-manual-24oct19-en.pdf</w:t>
        </w:r>
      </w:hyperlink>
    </w:p>
  </w:footnote>
  <w:footnote w:id="2">
    <w:p w14:paraId="11D07D9E" w14:textId="1307553B" w:rsidR="008C6FA8" w:rsidRPr="008C6FA8" w:rsidRDefault="0000386C">
      <w:pPr>
        <w:pStyle w:val="FootnoteText"/>
        <w:rPr>
          <w:sz w:val="18"/>
          <w:szCs w:val="18"/>
          <w:lang w:val="en-US"/>
        </w:rPr>
      </w:pPr>
      <w:r w:rsidRPr="008C6FA8">
        <w:rPr>
          <w:rStyle w:val="FootnoteReference"/>
          <w:rFonts w:asciiTheme="majorHAnsi" w:hAnsiTheme="majorHAnsi" w:cstheme="majorHAnsi"/>
          <w:sz w:val="18"/>
          <w:szCs w:val="18"/>
        </w:rPr>
        <w:footnoteRef/>
      </w:r>
      <w:r w:rsidRPr="008C6FA8">
        <w:rPr>
          <w:rFonts w:asciiTheme="majorHAnsi" w:hAnsiTheme="majorHAnsi" w:cstheme="majorHAnsi"/>
          <w:sz w:val="18"/>
          <w:szCs w:val="18"/>
        </w:rPr>
        <w:t xml:space="preserve"> </w:t>
      </w:r>
      <w:r w:rsidRPr="008C6FA8">
        <w:rPr>
          <w:rFonts w:asciiTheme="majorHAnsi" w:hAnsiTheme="majorHAnsi" w:cstheme="majorHAnsi"/>
          <w:sz w:val="18"/>
          <w:szCs w:val="18"/>
          <w:lang w:val="en-US"/>
        </w:rPr>
        <w:t xml:space="preserve">See </w:t>
      </w:r>
      <w:r w:rsidR="008C6FA8" w:rsidRPr="008C6FA8">
        <w:rPr>
          <w:rFonts w:asciiTheme="majorHAnsi" w:hAnsiTheme="majorHAnsi" w:cstheme="majorHAnsi"/>
          <w:sz w:val="18"/>
          <w:szCs w:val="18"/>
          <w:lang w:val="en-US"/>
        </w:rPr>
        <w:t xml:space="preserve">page 71 of the Final Report here: </w:t>
      </w:r>
      <w:hyperlink r:id="rId2" w:history="1">
        <w:r w:rsidR="008C6FA8" w:rsidRPr="008C6FA8">
          <w:rPr>
            <w:rStyle w:val="Hyperlink"/>
            <w:rFonts w:asciiTheme="majorHAnsi" w:hAnsiTheme="majorHAnsi" w:cstheme="majorHAnsi"/>
            <w:sz w:val="18"/>
            <w:szCs w:val="18"/>
            <w:lang w:val="en-US"/>
          </w:rPr>
          <w:t>https://gnso.icann.org/sites/default/files/file/field-file-attach/final-report-newgtld-subsequent-procedures-pdp-02feb21-en.pdf</w:t>
        </w:r>
      </w:hyperlink>
    </w:p>
  </w:footnote>
  <w:footnote w:id="3">
    <w:p w14:paraId="12229737" w14:textId="07495186" w:rsidR="008C6FA8" w:rsidRPr="008C6FA8" w:rsidRDefault="008C6FA8">
      <w:pPr>
        <w:pStyle w:val="FootnoteText"/>
        <w:rPr>
          <w:rFonts w:asciiTheme="majorHAnsi" w:hAnsiTheme="majorHAnsi" w:cstheme="majorHAnsi"/>
          <w:sz w:val="18"/>
          <w:szCs w:val="18"/>
          <w:lang w:val="en-US"/>
        </w:rPr>
      </w:pPr>
      <w:r w:rsidRPr="008C6FA8">
        <w:rPr>
          <w:rStyle w:val="FootnoteReference"/>
          <w:rFonts w:asciiTheme="majorHAnsi" w:hAnsiTheme="majorHAnsi" w:cstheme="majorHAnsi"/>
          <w:sz w:val="18"/>
          <w:szCs w:val="18"/>
        </w:rPr>
        <w:footnoteRef/>
      </w:r>
      <w:r w:rsidRPr="008C6FA8">
        <w:rPr>
          <w:rFonts w:asciiTheme="majorHAnsi" w:hAnsiTheme="majorHAnsi" w:cstheme="majorHAnsi"/>
          <w:sz w:val="18"/>
          <w:szCs w:val="18"/>
        </w:rPr>
        <w:t xml:space="preserve"> </w:t>
      </w:r>
      <w:r w:rsidRPr="008C6FA8">
        <w:rPr>
          <w:rFonts w:asciiTheme="majorHAnsi" w:hAnsiTheme="majorHAnsi" w:cstheme="majorHAnsi"/>
          <w:sz w:val="18"/>
          <w:szCs w:val="18"/>
          <w:lang w:val="en-US"/>
        </w:rPr>
        <w:t xml:space="preserve">See resolution here: </w:t>
      </w:r>
      <w:hyperlink r:id="rId3" w:anchor="1.a" w:history="1">
        <w:r w:rsidRPr="008C6FA8">
          <w:rPr>
            <w:rStyle w:val="Hyperlink"/>
            <w:rFonts w:asciiTheme="majorHAnsi" w:hAnsiTheme="majorHAnsi" w:cstheme="majorHAnsi"/>
            <w:sz w:val="18"/>
            <w:szCs w:val="18"/>
            <w:lang w:val="en-US"/>
          </w:rPr>
          <w:t>https://www.icann.org/resources/board-material/resolutions-2021-09-12-en#1.a</w:t>
        </w:r>
      </w:hyperlink>
    </w:p>
  </w:footnote>
  <w:footnote w:id="4">
    <w:p w14:paraId="0CF0415A" w14:textId="34C854F9" w:rsidR="007A5639" w:rsidRPr="007A5639" w:rsidRDefault="007A5639">
      <w:pPr>
        <w:pStyle w:val="FootnoteText"/>
        <w:rPr>
          <w:rFonts w:asciiTheme="majorHAnsi" w:hAnsiTheme="majorHAnsi" w:cstheme="majorHAnsi"/>
          <w:sz w:val="18"/>
          <w:szCs w:val="18"/>
          <w:lang w:val="en-US"/>
        </w:rPr>
      </w:pPr>
      <w:r>
        <w:rPr>
          <w:rStyle w:val="FootnoteReference"/>
        </w:rPr>
        <w:footnoteRef/>
      </w:r>
      <w:r>
        <w:t xml:space="preserve"> </w:t>
      </w:r>
      <w:r w:rsidRPr="007A5639">
        <w:rPr>
          <w:rFonts w:asciiTheme="majorHAnsi" w:hAnsiTheme="majorHAnsi" w:cstheme="majorHAnsi"/>
          <w:sz w:val="18"/>
          <w:szCs w:val="18"/>
          <w:highlight w:val="yellow"/>
          <w:lang w:val="en-US"/>
        </w:rPr>
        <w:t>Insert link when available.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F0E5D" w14:textId="4537100F" w:rsidR="00ED40D2" w:rsidRDefault="008C5630">
    <w:pPr>
      <w:tabs>
        <w:tab w:val="center" w:pos="4680"/>
        <w:tab w:val="right" w:pos="9360"/>
      </w:tabs>
      <w:spacing w:line="240" w:lineRule="auto"/>
      <w:jc w:val="right"/>
    </w:pPr>
    <w:r>
      <w:t xml:space="preserve">Version Date: </w:t>
    </w:r>
    <w:r w:rsidR="00A62ECA" w:rsidRPr="00A62ECA">
      <w:rPr>
        <w:highlight w:val="yellow"/>
      </w:rPr>
      <w:t>xx</w:t>
    </w:r>
    <w:r>
      <w:t xml:space="preserve"> </w:t>
    </w:r>
    <w:r w:rsidR="00146E9C">
      <w:t>May</w:t>
    </w:r>
    <w:r>
      <w:t xml:space="preserve"> 202</w:t>
    </w:r>
    <w:r w:rsidR="00A62ECA">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6E99"/>
    <w:multiLevelType w:val="multilevel"/>
    <w:tmpl w:val="7BD4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7698F"/>
    <w:multiLevelType w:val="hybridMultilevel"/>
    <w:tmpl w:val="D504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3263F"/>
    <w:multiLevelType w:val="multilevel"/>
    <w:tmpl w:val="1200C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8786E"/>
    <w:multiLevelType w:val="multilevel"/>
    <w:tmpl w:val="C6F2B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744C6"/>
    <w:multiLevelType w:val="multilevel"/>
    <w:tmpl w:val="1F602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CE7263"/>
    <w:multiLevelType w:val="hybridMultilevel"/>
    <w:tmpl w:val="AB58D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EF4A9E"/>
    <w:multiLevelType w:val="multilevel"/>
    <w:tmpl w:val="BC907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E2122A"/>
    <w:multiLevelType w:val="multilevel"/>
    <w:tmpl w:val="010A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2"/>
  </w:num>
  <w:num w:numId="5">
    <w:abstractNumId w:val="7"/>
  </w:num>
  <w:num w:numId="6">
    <w:abstractNumId w:val="3"/>
  </w:num>
  <w:num w:numId="7">
    <w:abstractNumId w:val="3"/>
  </w:num>
  <w:num w:numId="8">
    <w:abstractNumId w:val="1"/>
  </w:num>
  <w:num w:numId="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Chan">
    <w15:presenceInfo w15:providerId="AD" w15:userId="S::steve.chan@icann.org::bea123fc-a299-4a19-a755-3dfd44ef3f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D2"/>
    <w:rsid w:val="0000386C"/>
    <w:rsid w:val="00093C44"/>
    <w:rsid w:val="000D365B"/>
    <w:rsid w:val="00146E9C"/>
    <w:rsid w:val="00195BEC"/>
    <w:rsid w:val="001F412D"/>
    <w:rsid w:val="00210CBE"/>
    <w:rsid w:val="00236D8C"/>
    <w:rsid w:val="00267F3B"/>
    <w:rsid w:val="00276C07"/>
    <w:rsid w:val="002B213A"/>
    <w:rsid w:val="002F36DD"/>
    <w:rsid w:val="003024FE"/>
    <w:rsid w:val="00330309"/>
    <w:rsid w:val="00374315"/>
    <w:rsid w:val="004040C5"/>
    <w:rsid w:val="00416051"/>
    <w:rsid w:val="004160C2"/>
    <w:rsid w:val="00441246"/>
    <w:rsid w:val="004467BA"/>
    <w:rsid w:val="00446F78"/>
    <w:rsid w:val="00464D9F"/>
    <w:rsid w:val="00491849"/>
    <w:rsid w:val="004A2B01"/>
    <w:rsid w:val="004A3852"/>
    <w:rsid w:val="004B5A1B"/>
    <w:rsid w:val="004C7D9D"/>
    <w:rsid w:val="004F67B7"/>
    <w:rsid w:val="00574E27"/>
    <w:rsid w:val="00580D79"/>
    <w:rsid w:val="00581ADD"/>
    <w:rsid w:val="005D735A"/>
    <w:rsid w:val="006330C7"/>
    <w:rsid w:val="00655A1E"/>
    <w:rsid w:val="006C483D"/>
    <w:rsid w:val="006E47A6"/>
    <w:rsid w:val="006F6DDD"/>
    <w:rsid w:val="007027C2"/>
    <w:rsid w:val="0077083F"/>
    <w:rsid w:val="00771C21"/>
    <w:rsid w:val="007A5639"/>
    <w:rsid w:val="007B4F22"/>
    <w:rsid w:val="00854257"/>
    <w:rsid w:val="008A01AB"/>
    <w:rsid w:val="008B796C"/>
    <w:rsid w:val="008C5630"/>
    <w:rsid w:val="008C6FA8"/>
    <w:rsid w:val="008D0DA3"/>
    <w:rsid w:val="0094716B"/>
    <w:rsid w:val="00960C90"/>
    <w:rsid w:val="009D3E8A"/>
    <w:rsid w:val="009D77B2"/>
    <w:rsid w:val="009F2992"/>
    <w:rsid w:val="00A30011"/>
    <w:rsid w:val="00A56068"/>
    <w:rsid w:val="00A62ECA"/>
    <w:rsid w:val="00A83F5E"/>
    <w:rsid w:val="00AB1840"/>
    <w:rsid w:val="00AB6513"/>
    <w:rsid w:val="00B41C44"/>
    <w:rsid w:val="00BA7866"/>
    <w:rsid w:val="00BC6252"/>
    <w:rsid w:val="00C03DEC"/>
    <w:rsid w:val="00C26A6C"/>
    <w:rsid w:val="00C325D5"/>
    <w:rsid w:val="00C53661"/>
    <w:rsid w:val="00C74E48"/>
    <w:rsid w:val="00C901E6"/>
    <w:rsid w:val="00C92C75"/>
    <w:rsid w:val="00CC4292"/>
    <w:rsid w:val="00CD7952"/>
    <w:rsid w:val="00D64B83"/>
    <w:rsid w:val="00D70418"/>
    <w:rsid w:val="00D73BD4"/>
    <w:rsid w:val="00DE6E4B"/>
    <w:rsid w:val="00E85FA6"/>
    <w:rsid w:val="00EC5CC5"/>
    <w:rsid w:val="00ED40D2"/>
    <w:rsid w:val="00ED6D09"/>
    <w:rsid w:val="00F028B9"/>
    <w:rsid w:val="00F126B3"/>
    <w:rsid w:val="00F15F78"/>
    <w:rsid w:val="00F27AB1"/>
    <w:rsid w:val="00F35537"/>
    <w:rsid w:val="00FA218B"/>
    <w:rsid w:val="00FD1BA0"/>
    <w:rsid w:val="00FE42C7"/>
    <w:rsid w:val="00FF5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A2FE"/>
  <w15:docId w15:val="{C67C00ED-5857-B14B-A5EF-FA78CF6A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F55E9"/>
    <w:pPr>
      <w:tabs>
        <w:tab w:val="center" w:pos="4680"/>
        <w:tab w:val="right" w:pos="9360"/>
      </w:tabs>
      <w:spacing w:line="240" w:lineRule="auto"/>
    </w:pPr>
  </w:style>
  <w:style w:type="character" w:customStyle="1" w:styleId="HeaderChar">
    <w:name w:val="Header Char"/>
    <w:basedOn w:val="DefaultParagraphFont"/>
    <w:link w:val="Header"/>
    <w:uiPriority w:val="99"/>
    <w:rsid w:val="00FF55E9"/>
  </w:style>
  <w:style w:type="paragraph" w:styleId="Footer">
    <w:name w:val="footer"/>
    <w:basedOn w:val="Normal"/>
    <w:link w:val="FooterChar"/>
    <w:uiPriority w:val="99"/>
    <w:unhideWhenUsed/>
    <w:rsid w:val="00FF55E9"/>
    <w:pPr>
      <w:tabs>
        <w:tab w:val="center" w:pos="4680"/>
        <w:tab w:val="right" w:pos="9360"/>
      </w:tabs>
      <w:spacing w:line="240" w:lineRule="auto"/>
    </w:pPr>
  </w:style>
  <w:style w:type="character" w:customStyle="1" w:styleId="FooterChar">
    <w:name w:val="Footer Char"/>
    <w:basedOn w:val="DefaultParagraphFont"/>
    <w:link w:val="Footer"/>
    <w:uiPriority w:val="99"/>
    <w:rsid w:val="00FF55E9"/>
  </w:style>
  <w:style w:type="character" w:styleId="Hyperlink">
    <w:name w:val="Hyperlink"/>
    <w:basedOn w:val="DefaultParagraphFont"/>
    <w:uiPriority w:val="99"/>
    <w:unhideWhenUsed/>
    <w:rsid w:val="00A62ECA"/>
    <w:rPr>
      <w:color w:val="0000FF" w:themeColor="hyperlink"/>
      <w:u w:val="single"/>
    </w:rPr>
  </w:style>
  <w:style w:type="character" w:styleId="UnresolvedMention">
    <w:name w:val="Unresolved Mention"/>
    <w:basedOn w:val="DefaultParagraphFont"/>
    <w:uiPriority w:val="99"/>
    <w:semiHidden/>
    <w:unhideWhenUsed/>
    <w:rsid w:val="00A62ECA"/>
    <w:rPr>
      <w:color w:val="605E5C"/>
      <w:shd w:val="clear" w:color="auto" w:fill="E1DFDD"/>
    </w:rPr>
  </w:style>
  <w:style w:type="paragraph" w:styleId="FootnoteText">
    <w:name w:val="footnote text"/>
    <w:basedOn w:val="Normal"/>
    <w:link w:val="FootnoteTextChar"/>
    <w:uiPriority w:val="99"/>
    <w:semiHidden/>
    <w:unhideWhenUsed/>
    <w:rsid w:val="0000386C"/>
    <w:pPr>
      <w:spacing w:line="240" w:lineRule="auto"/>
    </w:pPr>
    <w:rPr>
      <w:sz w:val="20"/>
      <w:szCs w:val="20"/>
    </w:rPr>
  </w:style>
  <w:style w:type="character" w:customStyle="1" w:styleId="FootnoteTextChar">
    <w:name w:val="Footnote Text Char"/>
    <w:basedOn w:val="DefaultParagraphFont"/>
    <w:link w:val="FootnoteText"/>
    <w:uiPriority w:val="99"/>
    <w:semiHidden/>
    <w:rsid w:val="0000386C"/>
    <w:rPr>
      <w:sz w:val="20"/>
      <w:szCs w:val="20"/>
    </w:rPr>
  </w:style>
  <w:style w:type="character" w:styleId="FootnoteReference">
    <w:name w:val="footnote reference"/>
    <w:basedOn w:val="DefaultParagraphFont"/>
    <w:uiPriority w:val="99"/>
    <w:semiHidden/>
    <w:unhideWhenUsed/>
    <w:rsid w:val="0000386C"/>
    <w:rPr>
      <w:vertAlign w:val="superscript"/>
    </w:rPr>
  </w:style>
  <w:style w:type="table" w:styleId="TableGrid">
    <w:name w:val="Table Grid"/>
    <w:basedOn w:val="TableNormal"/>
    <w:uiPriority w:val="39"/>
    <w:rsid w:val="009F29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B796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093C44"/>
    <w:rPr>
      <w:sz w:val="16"/>
      <w:szCs w:val="16"/>
    </w:rPr>
  </w:style>
  <w:style w:type="paragraph" w:styleId="CommentText">
    <w:name w:val="annotation text"/>
    <w:basedOn w:val="Normal"/>
    <w:link w:val="CommentTextChar"/>
    <w:uiPriority w:val="99"/>
    <w:unhideWhenUsed/>
    <w:rsid w:val="00093C44"/>
    <w:pPr>
      <w:spacing w:line="240" w:lineRule="auto"/>
    </w:pPr>
    <w:rPr>
      <w:sz w:val="20"/>
      <w:szCs w:val="20"/>
    </w:rPr>
  </w:style>
  <w:style w:type="character" w:customStyle="1" w:styleId="CommentTextChar">
    <w:name w:val="Comment Text Char"/>
    <w:basedOn w:val="DefaultParagraphFont"/>
    <w:link w:val="CommentText"/>
    <w:uiPriority w:val="99"/>
    <w:rsid w:val="00093C44"/>
    <w:rPr>
      <w:sz w:val="20"/>
      <w:szCs w:val="20"/>
    </w:rPr>
  </w:style>
  <w:style w:type="paragraph" w:styleId="CommentSubject">
    <w:name w:val="annotation subject"/>
    <w:basedOn w:val="CommentText"/>
    <w:next w:val="CommentText"/>
    <w:link w:val="CommentSubjectChar"/>
    <w:uiPriority w:val="99"/>
    <w:semiHidden/>
    <w:unhideWhenUsed/>
    <w:rsid w:val="00093C44"/>
    <w:rPr>
      <w:b/>
      <w:bCs/>
    </w:rPr>
  </w:style>
  <w:style w:type="character" w:customStyle="1" w:styleId="CommentSubjectChar">
    <w:name w:val="Comment Subject Char"/>
    <w:basedOn w:val="CommentTextChar"/>
    <w:link w:val="CommentSubject"/>
    <w:uiPriority w:val="99"/>
    <w:semiHidden/>
    <w:rsid w:val="00093C44"/>
    <w:rPr>
      <w:b/>
      <w:bCs/>
      <w:sz w:val="20"/>
      <w:szCs w:val="20"/>
    </w:rPr>
  </w:style>
  <w:style w:type="paragraph" w:styleId="Revision">
    <w:name w:val="Revision"/>
    <w:hidden/>
    <w:uiPriority w:val="99"/>
    <w:semiHidden/>
    <w:rsid w:val="00416051"/>
    <w:pPr>
      <w:spacing w:line="240" w:lineRule="auto"/>
    </w:pPr>
  </w:style>
  <w:style w:type="paragraph" w:styleId="ListParagraph">
    <w:name w:val="List Paragraph"/>
    <w:basedOn w:val="Normal"/>
    <w:uiPriority w:val="34"/>
    <w:qFormat/>
    <w:rsid w:val="006F6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381098">
      <w:bodyDiv w:val="1"/>
      <w:marLeft w:val="0"/>
      <w:marRight w:val="0"/>
      <w:marTop w:val="0"/>
      <w:marBottom w:val="0"/>
      <w:divBdr>
        <w:top w:val="none" w:sz="0" w:space="0" w:color="auto"/>
        <w:left w:val="none" w:sz="0" w:space="0" w:color="auto"/>
        <w:bottom w:val="none" w:sz="0" w:space="0" w:color="auto"/>
        <w:right w:val="none" w:sz="0" w:space="0" w:color="auto"/>
      </w:divBdr>
    </w:div>
    <w:div w:id="365106865">
      <w:bodyDiv w:val="1"/>
      <w:marLeft w:val="0"/>
      <w:marRight w:val="0"/>
      <w:marTop w:val="0"/>
      <w:marBottom w:val="0"/>
      <w:divBdr>
        <w:top w:val="none" w:sz="0" w:space="0" w:color="auto"/>
        <w:left w:val="none" w:sz="0" w:space="0" w:color="auto"/>
        <w:bottom w:val="none" w:sz="0" w:space="0" w:color="auto"/>
        <w:right w:val="none" w:sz="0" w:space="0" w:color="auto"/>
      </w:divBdr>
    </w:div>
    <w:div w:id="421072616">
      <w:bodyDiv w:val="1"/>
      <w:marLeft w:val="0"/>
      <w:marRight w:val="0"/>
      <w:marTop w:val="0"/>
      <w:marBottom w:val="0"/>
      <w:divBdr>
        <w:top w:val="none" w:sz="0" w:space="0" w:color="auto"/>
        <w:left w:val="none" w:sz="0" w:space="0" w:color="auto"/>
        <w:bottom w:val="none" w:sz="0" w:space="0" w:color="auto"/>
        <w:right w:val="none" w:sz="0" w:space="0" w:color="auto"/>
      </w:divBdr>
    </w:div>
    <w:div w:id="432942387">
      <w:bodyDiv w:val="1"/>
      <w:marLeft w:val="0"/>
      <w:marRight w:val="0"/>
      <w:marTop w:val="0"/>
      <w:marBottom w:val="0"/>
      <w:divBdr>
        <w:top w:val="none" w:sz="0" w:space="0" w:color="auto"/>
        <w:left w:val="none" w:sz="0" w:space="0" w:color="auto"/>
        <w:bottom w:val="none" w:sz="0" w:space="0" w:color="auto"/>
        <w:right w:val="none" w:sz="0" w:space="0" w:color="auto"/>
      </w:divBdr>
    </w:div>
    <w:div w:id="485778339">
      <w:bodyDiv w:val="1"/>
      <w:marLeft w:val="0"/>
      <w:marRight w:val="0"/>
      <w:marTop w:val="0"/>
      <w:marBottom w:val="0"/>
      <w:divBdr>
        <w:top w:val="none" w:sz="0" w:space="0" w:color="auto"/>
        <w:left w:val="none" w:sz="0" w:space="0" w:color="auto"/>
        <w:bottom w:val="none" w:sz="0" w:space="0" w:color="auto"/>
        <w:right w:val="none" w:sz="0" w:space="0" w:color="auto"/>
      </w:divBdr>
    </w:div>
    <w:div w:id="562444367">
      <w:bodyDiv w:val="1"/>
      <w:marLeft w:val="0"/>
      <w:marRight w:val="0"/>
      <w:marTop w:val="0"/>
      <w:marBottom w:val="0"/>
      <w:divBdr>
        <w:top w:val="none" w:sz="0" w:space="0" w:color="auto"/>
        <w:left w:val="none" w:sz="0" w:space="0" w:color="auto"/>
        <w:bottom w:val="none" w:sz="0" w:space="0" w:color="auto"/>
        <w:right w:val="none" w:sz="0" w:space="0" w:color="auto"/>
      </w:divBdr>
    </w:div>
    <w:div w:id="649939311">
      <w:bodyDiv w:val="1"/>
      <w:marLeft w:val="0"/>
      <w:marRight w:val="0"/>
      <w:marTop w:val="0"/>
      <w:marBottom w:val="0"/>
      <w:divBdr>
        <w:top w:val="none" w:sz="0" w:space="0" w:color="auto"/>
        <w:left w:val="none" w:sz="0" w:space="0" w:color="auto"/>
        <w:bottom w:val="none" w:sz="0" w:space="0" w:color="auto"/>
        <w:right w:val="none" w:sz="0" w:space="0" w:color="auto"/>
      </w:divBdr>
    </w:div>
    <w:div w:id="664747785">
      <w:bodyDiv w:val="1"/>
      <w:marLeft w:val="0"/>
      <w:marRight w:val="0"/>
      <w:marTop w:val="0"/>
      <w:marBottom w:val="0"/>
      <w:divBdr>
        <w:top w:val="none" w:sz="0" w:space="0" w:color="auto"/>
        <w:left w:val="none" w:sz="0" w:space="0" w:color="auto"/>
        <w:bottom w:val="none" w:sz="0" w:space="0" w:color="auto"/>
        <w:right w:val="none" w:sz="0" w:space="0" w:color="auto"/>
      </w:divBdr>
    </w:div>
    <w:div w:id="683946689">
      <w:bodyDiv w:val="1"/>
      <w:marLeft w:val="0"/>
      <w:marRight w:val="0"/>
      <w:marTop w:val="0"/>
      <w:marBottom w:val="0"/>
      <w:divBdr>
        <w:top w:val="none" w:sz="0" w:space="0" w:color="auto"/>
        <w:left w:val="none" w:sz="0" w:space="0" w:color="auto"/>
        <w:bottom w:val="none" w:sz="0" w:space="0" w:color="auto"/>
        <w:right w:val="none" w:sz="0" w:space="0" w:color="auto"/>
      </w:divBdr>
    </w:div>
    <w:div w:id="707994289">
      <w:bodyDiv w:val="1"/>
      <w:marLeft w:val="0"/>
      <w:marRight w:val="0"/>
      <w:marTop w:val="0"/>
      <w:marBottom w:val="0"/>
      <w:divBdr>
        <w:top w:val="none" w:sz="0" w:space="0" w:color="auto"/>
        <w:left w:val="none" w:sz="0" w:space="0" w:color="auto"/>
        <w:bottom w:val="none" w:sz="0" w:space="0" w:color="auto"/>
        <w:right w:val="none" w:sz="0" w:space="0" w:color="auto"/>
      </w:divBdr>
    </w:div>
    <w:div w:id="755906825">
      <w:bodyDiv w:val="1"/>
      <w:marLeft w:val="0"/>
      <w:marRight w:val="0"/>
      <w:marTop w:val="0"/>
      <w:marBottom w:val="0"/>
      <w:divBdr>
        <w:top w:val="none" w:sz="0" w:space="0" w:color="auto"/>
        <w:left w:val="none" w:sz="0" w:space="0" w:color="auto"/>
        <w:bottom w:val="none" w:sz="0" w:space="0" w:color="auto"/>
        <w:right w:val="none" w:sz="0" w:space="0" w:color="auto"/>
      </w:divBdr>
    </w:div>
    <w:div w:id="774980084">
      <w:bodyDiv w:val="1"/>
      <w:marLeft w:val="0"/>
      <w:marRight w:val="0"/>
      <w:marTop w:val="0"/>
      <w:marBottom w:val="0"/>
      <w:divBdr>
        <w:top w:val="none" w:sz="0" w:space="0" w:color="auto"/>
        <w:left w:val="none" w:sz="0" w:space="0" w:color="auto"/>
        <w:bottom w:val="none" w:sz="0" w:space="0" w:color="auto"/>
        <w:right w:val="none" w:sz="0" w:space="0" w:color="auto"/>
      </w:divBdr>
    </w:div>
    <w:div w:id="1093862060">
      <w:bodyDiv w:val="1"/>
      <w:marLeft w:val="0"/>
      <w:marRight w:val="0"/>
      <w:marTop w:val="0"/>
      <w:marBottom w:val="0"/>
      <w:divBdr>
        <w:top w:val="none" w:sz="0" w:space="0" w:color="auto"/>
        <w:left w:val="none" w:sz="0" w:space="0" w:color="auto"/>
        <w:bottom w:val="none" w:sz="0" w:space="0" w:color="auto"/>
        <w:right w:val="none" w:sz="0" w:space="0" w:color="auto"/>
      </w:divBdr>
    </w:div>
    <w:div w:id="1190145090">
      <w:bodyDiv w:val="1"/>
      <w:marLeft w:val="0"/>
      <w:marRight w:val="0"/>
      <w:marTop w:val="0"/>
      <w:marBottom w:val="0"/>
      <w:divBdr>
        <w:top w:val="none" w:sz="0" w:space="0" w:color="auto"/>
        <w:left w:val="none" w:sz="0" w:space="0" w:color="auto"/>
        <w:bottom w:val="none" w:sz="0" w:space="0" w:color="auto"/>
        <w:right w:val="none" w:sz="0" w:space="0" w:color="auto"/>
      </w:divBdr>
    </w:div>
    <w:div w:id="1276715192">
      <w:bodyDiv w:val="1"/>
      <w:marLeft w:val="0"/>
      <w:marRight w:val="0"/>
      <w:marTop w:val="0"/>
      <w:marBottom w:val="0"/>
      <w:divBdr>
        <w:top w:val="none" w:sz="0" w:space="0" w:color="auto"/>
        <w:left w:val="none" w:sz="0" w:space="0" w:color="auto"/>
        <w:bottom w:val="none" w:sz="0" w:space="0" w:color="auto"/>
        <w:right w:val="none" w:sz="0" w:space="0" w:color="auto"/>
      </w:divBdr>
    </w:div>
    <w:div w:id="1309019215">
      <w:bodyDiv w:val="1"/>
      <w:marLeft w:val="0"/>
      <w:marRight w:val="0"/>
      <w:marTop w:val="0"/>
      <w:marBottom w:val="0"/>
      <w:divBdr>
        <w:top w:val="none" w:sz="0" w:space="0" w:color="auto"/>
        <w:left w:val="none" w:sz="0" w:space="0" w:color="auto"/>
        <w:bottom w:val="none" w:sz="0" w:space="0" w:color="auto"/>
        <w:right w:val="none" w:sz="0" w:space="0" w:color="auto"/>
      </w:divBdr>
    </w:div>
    <w:div w:id="1399160502">
      <w:bodyDiv w:val="1"/>
      <w:marLeft w:val="0"/>
      <w:marRight w:val="0"/>
      <w:marTop w:val="0"/>
      <w:marBottom w:val="0"/>
      <w:divBdr>
        <w:top w:val="none" w:sz="0" w:space="0" w:color="auto"/>
        <w:left w:val="none" w:sz="0" w:space="0" w:color="auto"/>
        <w:bottom w:val="none" w:sz="0" w:space="0" w:color="auto"/>
        <w:right w:val="none" w:sz="0" w:space="0" w:color="auto"/>
      </w:divBdr>
    </w:div>
    <w:div w:id="1428114306">
      <w:bodyDiv w:val="1"/>
      <w:marLeft w:val="0"/>
      <w:marRight w:val="0"/>
      <w:marTop w:val="0"/>
      <w:marBottom w:val="0"/>
      <w:divBdr>
        <w:top w:val="none" w:sz="0" w:space="0" w:color="auto"/>
        <w:left w:val="none" w:sz="0" w:space="0" w:color="auto"/>
        <w:bottom w:val="none" w:sz="0" w:space="0" w:color="auto"/>
        <w:right w:val="none" w:sz="0" w:space="0" w:color="auto"/>
      </w:divBdr>
    </w:div>
    <w:div w:id="1454901605">
      <w:bodyDiv w:val="1"/>
      <w:marLeft w:val="0"/>
      <w:marRight w:val="0"/>
      <w:marTop w:val="0"/>
      <w:marBottom w:val="0"/>
      <w:divBdr>
        <w:top w:val="none" w:sz="0" w:space="0" w:color="auto"/>
        <w:left w:val="none" w:sz="0" w:space="0" w:color="auto"/>
        <w:bottom w:val="none" w:sz="0" w:space="0" w:color="auto"/>
        <w:right w:val="none" w:sz="0" w:space="0" w:color="auto"/>
      </w:divBdr>
    </w:div>
    <w:div w:id="1505588350">
      <w:bodyDiv w:val="1"/>
      <w:marLeft w:val="0"/>
      <w:marRight w:val="0"/>
      <w:marTop w:val="0"/>
      <w:marBottom w:val="0"/>
      <w:divBdr>
        <w:top w:val="none" w:sz="0" w:space="0" w:color="auto"/>
        <w:left w:val="none" w:sz="0" w:space="0" w:color="auto"/>
        <w:bottom w:val="none" w:sz="0" w:space="0" w:color="auto"/>
        <w:right w:val="none" w:sz="0" w:space="0" w:color="auto"/>
      </w:divBdr>
    </w:div>
    <w:div w:id="1580823960">
      <w:bodyDiv w:val="1"/>
      <w:marLeft w:val="0"/>
      <w:marRight w:val="0"/>
      <w:marTop w:val="0"/>
      <w:marBottom w:val="0"/>
      <w:divBdr>
        <w:top w:val="none" w:sz="0" w:space="0" w:color="auto"/>
        <w:left w:val="none" w:sz="0" w:space="0" w:color="auto"/>
        <w:bottom w:val="none" w:sz="0" w:space="0" w:color="auto"/>
        <w:right w:val="none" w:sz="0" w:space="0" w:color="auto"/>
      </w:divBdr>
    </w:div>
    <w:div w:id="1700425810">
      <w:bodyDiv w:val="1"/>
      <w:marLeft w:val="0"/>
      <w:marRight w:val="0"/>
      <w:marTop w:val="0"/>
      <w:marBottom w:val="0"/>
      <w:divBdr>
        <w:top w:val="none" w:sz="0" w:space="0" w:color="auto"/>
        <w:left w:val="none" w:sz="0" w:space="0" w:color="auto"/>
        <w:bottom w:val="none" w:sz="0" w:space="0" w:color="auto"/>
        <w:right w:val="none" w:sz="0" w:space="0" w:color="auto"/>
      </w:divBdr>
    </w:div>
    <w:div w:id="1735008911">
      <w:bodyDiv w:val="1"/>
      <w:marLeft w:val="0"/>
      <w:marRight w:val="0"/>
      <w:marTop w:val="0"/>
      <w:marBottom w:val="0"/>
      <w:divBdr>
        <w:top w:val="none" w:sz="0" w:space="0" w:color="auto"/>
        <w:left w:val="none" w:sz="0" w:space="0" w:color="auto"/>
        <w:bottom w:val="none" w:sz="0" w:space="0" w:color="auto"/>
        <w:right w:val="none" w:sz="0" w:space="0" w:color="auto"/>
      </w:divBdr>
    </w:div>
    <w:div w:id="1784112433">
      <w:bodyDiv w:val="1"/>
      <w:marLeft w:val="0"/>
      <w:marRight w:val="0"/>
      <w:marTop w:val="0"/>
      <w:marBottom w:val="0"/>
      <w:divBdr>
        <w:top w:val="none" w:sz="0" w:space="0" w:color="auto"/>
        <w:left w:val="none" w:sz="0" w:space="0" w:color="auto"/>
        <w:bottom w:val="none" w:sz="0" w:space="0" w:color="auto"/>
        <w:right w:val="none" w:sz="0" w:space="0" w:color="auto"/>
      </w:divBdr>
    </w:div>
    <w:div w:id="1838687275">
      <w:bodyDiv w:val="1"/>
      <w:marLeft w:val="0"/>
      <w:marRight w:val="0"/>
      <w:marTop w:val="0"/>
      <w:marBottom w:val="0"/>
      <w:divBdr>
        <w:top w:val="none" w:sz="0" w:space="0" w:color="auto"/>
        <w:left w:val="none" w:sz="0" w:space="0" w:color="auto"/>
        <w:bottom w:val="none" w:sz="0" w:space="0" w:color="auto"/>
        <w:right w:val="none" w:sz="0" w:space="0" w:color="auto"/>
      </w:divBdr>
    </w:div>
    <w:div w:id="1852068280">
      <w:bodyDiv w:val="1"/>
      <w:marLeft w:val="0"/>
      <w:marRight w:val="0"/>
      <w:marTop w:val="0"/>
      <w:marBottom w:val="0"/>
      <w:divBdr>
        <w:top w:val="none" w:sz="0" w:space="0" w:color="auto"/>
        <w:left w:val="none" w:sz="0" w:space="0" w:color="auto"/>
        <w:bottom w:val="none" w:sz="0" w:space="0" w:color="auto"/>
        <w:right w:val="none" w:sz="0" w:space="0" w:color="auto"/>
      </w:divBdr>
    </w:div>
    <w:div w:id="1919947279">
      <w:bodyDiv w:val="1"/>
      <w:marLeft w:val="0"/>
      <w:marRight w:val="0"/>
      <w:marTop w:val="0"/>
      <w:marBottom w:val="0"/>
      <w:divBdr>
        <w:top w:val="none" w:sz="0" w:space="0" w:color="auto"/>
        <w:left w:val="none" w:sz="0" w:space="0" w:color="auto"/>
        <w:bottom w:val="none" w:sz="0" w:space="0" w:color="auto"/>
        <w:right w:val="none" w:sz="0" w:space="0" w:color="auto"/>
      </w:divBdr>
    </w:div>
    <w:div w:id="1954555086">
      <w:bodyDiv w:val="1"/>
      <w:marLeft w:val="0"/>
      <w:marRight w:val="0"/>
      <w:marTop w:val="0"/>
      <w:marBottom w:val="0"/>
      <w:divBdr>
        <w:top w:val="none" w:sz="0" w:space="0" w:color="auto"/>
        <w:left w:val="none" w:sz="0" w:space="0" w:color="auto"/>
        <w:bottom w:val="none" w:sz="0" w:space="0" w:color="auto"/>
        <w:right w:val="none" w:sz="0" w:space="0" w:color="auto"/>
      </w:divBdr>
    </w:div>
    <w:div w:id="19664982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icann.org/consensus"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cann.org/resources/board-material/resolutions-2021-09-12-en" TargetMode="External"/><Relationship Id="rId2" Type="http://schemas.openxmlformats.org/officeDocument/2006/relationships/hyperlink" Target="https://gnso.icann.org/sites/default/files/file/field-file-attach/final-report-newgtld-subsequent-procedures-pdp-02feb21-en.pdf" TargetMode="External"/><Relationship Id="rId1" Type="http://schemas.openxmlformats.org/officeDocument/2006/relationships/hyperlink" Target="https://gnso.icann.org/sites/default/files/file/field-file-attach/annex-5-ggp-manual-24oct1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2454</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Neuman</dc:creator>
  <cp:lastModifiedBy>Steve Chan</cp:lastModifiedBy>
  <cp:revision>3</cp:revision>
  <dcterms:created xsi:type="dcterms:W3CDTF">2022-05-04T14:56:00Z</dcterms:created>
  <dcterms:modified xsi:type="dcterms:W3CDTF">2022-05-04T23:19:00Z</dcterms:modified>
</cp:coreProperties>
</file>