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9A6" w:rsidRPr="00B559A6" w:rsidRDefault="00B559A6" w:rsidP="00CE0DBE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Helvetica Neue" w:eastAsia="Times New Roman" w:hAnsi="Helvetica Neue" w:cs="Arial"/>
          <w:b/>
          <w:bCs/>
          <w:color w:val="222222"/>
          <w:sz w:val="19"/>
          <w:szCs w:val="19"/>
          <w:lang w:eastAsia="en-CA"/>
        </w:rPr>
        <w:br/>
        <w:t>CCWP-HR: Due Diligence and Why It Matters</w:t>
      </w:r>
    </w:p>
    <w:p w:rsidR="00B559A6" w:rsidRPr="00B559A6" w:rsidRDefault="00B559A6" w:rsidP="00CE0DBE">
      <w:p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Helvetica Neue" w:eastAsia="Times New Roman" w:hAnsi="Helvetica Neue" w:cs="Arial"/>
          <w:color w:val="222222"/>
          <w:sz w:val="19"/>
          <w:szCs w:val="19"/>
          <w:lang w:eastAsia="en-CA"/>
        </w:rPr>
        <w:t>July 31, 2018, 1400 - 1500 UTC</w:t>
      </w:r>
    </w:p>
    <w:p w:rsidR="00CE0DBE" w:rsidRDefault="00B559A6" w:rsidP="00CE0DBE">
      <w:pPr>
        <w:shd w:val="clear" w:color="auto" w:fill="FFFFFF"/>
        <w:rPr>
          <w:rFonts w:ascii="Helvetica Neue" w:eastAsia="Times New Roman" w:hAnsi="Helvetica Neue" w:cs="Arial"/>
          <w:color w:val="222222"/>
          <w:sz w:val="19"/>
          <w:szCs w:val="19"/>
          <w:lang w:eastAsia="en-CA"/>
        </w:rPr>
      </w:pPr>
      <w:hyperlink r:id="rId5" w:tgtFrame="_blank" w:history="1">
        <w:r w:rsidRPr="00B559A6">
          <w:rPr>
            <w:rFonts w:ascii="Helvetica Neue" w:eastAsia="Times New Roman" w:hAnsi="Helvetica Neue" w:cs="Arial"/>
            <w:color w:val="1155CC"/>
            <w:sz w:val="19"/>
            <w:szCs w:val="19"/>
            <w:u w:val="single"/>
            <w:lang w:eastAsia="en-CA"/>
          </w:rPr>
          <w:t>https://</w:t>
        </w:r>
        <w:proofErr w:type="spellStart"/>
        <w:r w:rsidRPr="00B559A6">
          <w:rPr>
            <w:rFonts w:ascii="Helvetica Neue" w:eastAsia="Times New Roman" w:hAnsi="Helvetica Neue" w:cs="Arial"/>
            <w:color w:val="1155CC"/>
            <w:sz w:val="19"/>
            <w:szCs w:val="19"/>
            <w:u w:val="single"/>
            <w:lang w:eastAsia="en-CA"/>
          </w:rPr>
          <w:t>participate.icann.org</w:t>
        </w:r>
        <w:proofErr w:type="spellEnd"/>
        <w:r w:rsidRPr="00B559A6">
          <w:rPr>
            <w:rFonts w:ascii="Helvetica Neue" w:eastAsia="Times New Roman" w:hAnsi="Helvetica Neue" w:cs="Arial"/>
            <w:color w:val="1155CC"/>
            <w:sz w:val="19"/>
            <w:szCs w:val="19"/>
            <w:u w:val="single"/>
            <w:lang w:eastAsia="en-CA"/>
          </w:rPr>
          <w:t>/</w:t>
        </w:r>
        <w:proofErr w:type="spellStart"/>
        <w:r w:rsidRPr="00B559A6">
          <w:rPr>
            <w:rFonts w:ascii="Helvetica Neue" w:eastAsia="Times New Roman" w:hAnsi="Helvetica Neue" w:cs="Arial"/>
            <w:color w:val="1155CC"/>
            <w:sz w:val="19"/>
            <w:szCs w:val="19"/>
            <w:u w:val="single"/>
            <w:lang w:eastAsia="en-CA"/>
          </w:rPr>
          <w:t>ncsg</w:t>
        </w:r>
        <w:proofErr w:type="spellEnd"/>
      </w:hyperlink>
    </w:p>
    <w:p w:rsidR="00B559A6" w:rsidRPr="00B559A6" w:rsidRDefault="00B559A6" w:rsidP="00CE0DBE">
      <w:pPr>
        <w:shd w:val="clear" w:color="auto" w:fill="FFFFFF"/>
        <w:rPr>
          <w:rFonts w:ascii="Helvetica Neue" w:eastAsia="Times New Roman" w:hAnsi="Helvetica Neue" w:cs="Arial"/>
          <w:color w:val="222222"/>
          <w:sz w:val="19"/>
          <w:szCs w:val="19"/>
          <w:lang w:eastAsia="en-CA"/>
        </w:rPr>
      </w:pPr>
      <w:r w:rsidRPr="00B559A6">
        <w:rPr>
          <w:rFonts w:ascii="Helvetica Neue" w:eastAsia="Times New Roman" w:hAnsi="Helvetica Neue" w:cs="Arial"/>
          <w:color w:val="222222"/>
          <w:sz w:val="19"/>
          <w:szCs w:val="19"/>
          <w:lang w:eastAsia="en-CA"/>
        </w:rPr>
        <w:t> </w:t>
      </w:r>
    </w:p>
    <w:p w:rsidR="00CE0DBE" w:rsidRDefault="00CE0DBE" w:rsidP="00CE0DBE">
      <w:pPr>
        <w:pStyle w:val="ListParagraph"/>
        <w:numPr>
          <w:ilvl w:val="0"/>
          <w:numId w:val="8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CE0DBE">
        <w:rPr>
          <w:rFonts w:ascii="Arial" w:eastAsia="Times New Roman" w:hAnsi="Arial" w:cs="Arial"/>
          <w:b/>
          <w:bCs/>
          <w:color w:val="222222"/>
          <w:sz w:val="19"/>
          <w:szCs w:val="19"/>
          <w:lang w:eastAsia="en-CA"/>
        </w:rPr>
        <w:t>PART I</w:t>
      </w:r>
      <w:r w:rsidRPr="00CE0DBE">
        <w:rPr>
          <w:rFonts w:ascii="Arial" w:eastAsia="Times New Roman" w:hAnsi="Arial" w:cs="Arial"/>
          <w:b/>
          <w:bCs/>
          <w:color w:val="222222"/>
          <w:sz w:val="19"/>
          <w:szCs w:val="19"/>
          <w:lang w:eastAsia="en-CA"/>
        </w:rPr>
        <w:t>: Relevance to the ICANN Community </w:t>
      </w:r>
      <w:r w:rsidRPr="00CE0DBE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– Raphael Beauregard Lacroix (10 min)</w:t>
      </w:r>
    </w:p>
    <w:p w:rsidR="00CE0DBE" w:rsidRDefault="00CE0DBE" w:rsidP="00CE0DBE">
      <w:pPr>
        <w:pStyle w:val="ListParagraph"/>
        <w:numPr>
          <w:ilvl w:val="1"/>
          <w:numId w:val="8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CE0DBE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ICANN’s Human Rights Bylaw, GDPR, and “applicable law”</w:t>
      </w:r>
    </w:p>
    <w:p w:rsidR="00CE0DBE" w:rsidRDefault="00CE0DBE" w:rsidP="00CE0DBE">
      <w:pPr>
        <w:pStyle w:val="ListParagraph"/>
        <w:numPr>
          <w:ilvl w:val="1"/>
          <w:numId w:val="8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CE0DBE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Resource: </w:t>
      </w:r>
      <w:hyperlink r:id="rId6" w:tgtFrame="_blank" w:history="1">
        <w:r w:rsidRPr="00CE0DBE">
          <w:rPr>
            <w:rFonts w:ascii="Arial" w:eastAsia="Times New Roman" w:hAnsi="Arial" w:cs="Arial"/>
            <w:color w:val="1155CC"/>
            <w:sz w:val="19"/>
            <w:szCs w:val="19"/>
            <w:u w:val="single"/>
            <w:lang w:eastAsia="en-CA"/>
          </w:rPr>
          <w:t>Human Rights Bylaw Framework of Interpretation</w:t>
        </w:r>
      </w:hyperlink>
    </w:p>
    <w:p w:rsidR="00CE0DBE" w:rsidRPr="00CE0DBE" w:rsidRDefault="00CE0DBE" w:rsidP="00CE0DBE">
      <w:pPr>
        <w:pStyle w:val="ListParagraph"/>
        <w:shd w:val="clear" w:color="auto" w:fill="FFFFFF"/>
        <w:ind w:left="1440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</w:p>
    <w:p w:rsidR="00CE0DBE" w:rsidRDefault="00B559A6" w:rsidP="00CE0DBE">
      <w:pPr>
        <w:numPr>
          <w:ilvl w:val="0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Arial" w:eastAsia="Times New Roman" w:hAnsi="Arial" w:cs="Arial"/>
          <w:b/>
          <w:bCs/>
          <w:color w:val="222222"/>
          <w:sz w:val="19"/>
          <w:szCs w:val="19"/>
          <w:lang w:eastAsia="en-CA"/>
        </w:rPr>
        <w:t>PART I</w:t>
      </w:r>
      <w:r w:rsidR="00CE0DBE" w:rsidRPr="00CE0DBE">
        <w:rPr>
          <w:rFonts w:ascii="Arial" w:eastAsia="Times New Roman" w:hAnsi="Arial" w:cs="Arial"/>
          <w:b/>
          <w:bCs/>
          <w:color w:val="222222"/>
          <w:sz w:val="19"/>
          <w:szCs w:val="19"/>
          <w:lang w:eastAsia="en-CA"/>
        </w:rPr>
        <w:t>I</w:t>
      </w:r>
      <w:r w:rsidRPr="00B559A6">
        <w:rPr>
          <w:rFonts w:ascii="Arial" w:eastAsia="Times New Roman" w:hAnsi="Arial" w:cs="Arial"/>
          <w:b/>
          <w:bCs/>
          <w:color w:val="222222"/>
          <w:sz w:val="19"/>
          <w:szCs w:val="19"/>
          <w:lang w:eastAsia="en-CA"/>
        </w:rPr>
        <w:t>: What is Due Diligence? </w:t>
      </w:r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– Michael </w:t>
      </w:r>
      <w:proofErr w:type="spellStart"/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Samway</w:t>
      </w:r>
      <w:proofErr w:type="spellEnd"/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 (15 min)</w:t>
      </w:r>
    </w:p>
    <w:p w:rsidR="00CE0DBE" w:rsidRDefault="00B559A6" w:rsidP="00CE0DBE">
      <w:pPr>
        <w:numPr>
          <w:ilvl w:val="1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Due Diligence Roadmap</w:t>
      </w:r>
    </w:p>
    <w:p w:rsidR="00CE0DBE" w:rsidRPr="00CE0DBE" w:rsidRDefault="00CE0DBE" w:rsidP="00CE0DBE">
      <w:pPr>
        <w:shd w:val="clear" w:color="auto" w:fill="FFFFFF"/>
        <w:ind w:left="1440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</w:p>
    <w:p w:rsidR="00CE0DBE" w:rsidRDefault="00B559A6" w:rsidP="00CE0DBE">
      <w:pPr>
        <w:numPr>
          <w:ilvl w:val="0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Arial" w:eastAsia="Times New Roman" w:hAnsi="Arial" w:cs="Arial"/>
          <w:b/>
          <w:bCs/>
          <w:color w:val="222222"/>
          <w:sz w:val="19"/>
          <w:szCs w:val="19"/>
          <w:lang w:eastAsia="en-CA"/>
        </w:rPr>
        <w:t>PART III: Progress Update</w:t>
      </w:r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 – Collin </w:t>
      </w:r>
      <w:proofErr w:type="spellStart"/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Kurre</w:t>
      </w:r>
      <w:proofErr w:type="spellEnd"/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 and Michele </w:t>
      </w:r>
      <w:proofErr w:type="spellStart"/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Neylon</w:t>
      </w:r>
      <w:proofErr w:type="spellEnd"/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 (15 min)</w:t>
      </w:r>
    </w:p>
    <w:p w:rsidR="00CE0DBE" w:rsidRDefault="00B559A6" w:rsidP="00CE0DBE">
      <w:pPr>
        <w:numPr>
          <w:ilvl w:val="1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ARTICLE 19 / </w:t>
      </w:r>
      <w:proofErr w:type="spellStart"/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Blacknight</w:t>
      </w:r>
      <w:proofErr w:type="spellEnd"/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 collaboration; ongoing efforts to develop new impact assessment models</w:t>
      </w:r>
    </w:p>
    <w:p w:rsidR="00CE0DBE" w:rsidRDefault="00CE0DBE" w:rsidP="00CE0DBE">
      <w:pPr>
        <w:shd w:val="clear" w:color="auto" w:fill="FFFFFF"/>
        <w:ind w:left="1440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</w:p>
    <w:p w:rsidR="00CE0DBE" w:rsidRDefault="00B559A6" w:rsidP="00CE0DBE">
      <w:pPr>
        <w:numPr>
          <w:ilvl w:val="0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Arial" w:eastAsia="Times New Roman" w:hAnsi="Arial" w:cs="Arial"/>
          <w:b/>
          <w:bCs/>
          <w:color w:val="222222"/>
          <w:sz w:val="19"/>
          <w:szCs w:val="19"/>
          <w:lang w:eastAsia="en-CA"/>
        </w:rPr>
        <w:t>PART IV: Discussion</w:t>
      </w:r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 (20 min)</w:t>
      </w:r>
    </w:p>
    <w:p w:rsidR="00CE0DBE" w:rsidRDefault="00B559A6" w:rsidP="00CE0DBE">
      <w:pPr>
        <w:numPr>
          <w:ilvl w:val="1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Arial" w:eastAsia="Times New Roman" w:hAnsi="Arial" w:cs="Arial"/>
          <w:color w:val="222222"/>
          <w:sz w:val="19"/>
          <w:szCs w:val="19"/>
          <w:u w:val="single"/>
          <w:lang w:eastAsia="en-CA"/>
        </w:rPr>
        <w:t>Community Question</w:t>
      </w:r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: How can we incorporate systematic procedures for due diligence into ICANN decision-making processes?</w:t>
      </w:r>
    </w:p>
    <w:p w:rsidR="00A31E73" w:rsidRDefault="00A31E73" w:rsidP="00A31E73">
      <w:pPr>
        <w:numPr>
          <w:ilvl w:val="2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A31E73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Which aspects of ICANN’s decision-making structure should be prioritized? </w:t>
      </w:r>
    </w:p>
    <w:p w:rsidR="00A31E73" w:rsidRDefault="00A31E73" w:rsidP="00A31E73">
      <w:pPr>
        <w:numPr>
          <w:ilvl w:val="2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A31E73">
        <w:rPr>
          <w:rFonts w:ascii="Arial" w:eastAsia="Times New Roman" w:hAnsi="Arial" w:cs="Arial"/>
          <w:color w:val="222222"/>
          <w:sz w:val="19"/>
          <w:szCs w:val="19"/>
          <w:lang w:eastAsia="en-CA"/>
        </w:rPr>
        <w:t xml:space="preserve">How might this apply to working groups? </w:t>
      </w:r>
    </w:p>
    <w:p w:rsidR="00A31E73" w:rsidRDefault="00A31E73" w:rsidP="00A31E73">
      <w:pPr>
        <w:numPr>
          <w:ilvl w:val="2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bookmarkStart w:id="0" w:name="_GoBack"/>
      <w:bookmarkEnd w:id="0"/>
      <w:r w:rsidRPr="00A31E73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How might this apply to SO/ACs?</w:t>
      </w:r>
    </w:p>
    <w:p w:rsidR="00B559A6" w:rsidRPr="00B559A6" w:rsidRDefault="00B559A6" w:rsidP="00CE0DBE">
      <w:pPr>
        <w:numPr>
          <w:ilvl w:val="1"/>
          <w:numId w:val="6"/>
        </w:numPr>
        <w:shd w:val="clear" w:color="auto" w:fill="FFFFFF"/>
        <w:rPr>
          <w:rFonts w:ascii="Arial" w:eastAsia="Times New Roman" w:hAnsi="Arial" w:cs="Arial"/>
          <w:color w:val="222222"/>
          <w:sz w:val="19"/>
          <w:szCs w:val="19"/>
          <w:lang w:eastAsia="en-CA"/>
        </w:rPr>
      </w:pPr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Additional resources available on the </w:t>
      </w:r>
      <w:hyperlink r:id="rId7" w:tgtFrame="_blank" w:history="1">
        <w:r w:rsidRPr="00CE0DBE">
          <w:rPr>
            <w:rFonts w:ascii="Arial" w:eastAsia="Times New Roman" w:hAnsi="Arial" w:cs="Arial"/>
            <w:color w:val="1155CC"/>
            <w:sz w:val="19"/>
            <w:szCs w:val="19"/>
            <w:lang w:eastAsia="en-CA"/>
          </w:rPr>
          <w:t>CCWP</w:t>
        </w:r>
        <w:r w:rsidRPr="00CE0DBE">
          <w:rPr>
            <w:rFonts w:ascii="Arial" w:eastAsia="Times New Roman" w:hAnsi="Arial" w:cs="Arial"/>
            <w:color w:val="1155CC"/>
            <w:sz w:val="19"/>
            <w:szCs w:val="19"/>
            <w:u w:val="single"/>
            <w:lang w:eastAsia="en-CA"/>
          </w:rPr>
          <w:t>-HR website</w:t>
        </w:r>
      </w:hyperlink>
      <w:r w:rsidRPr="00B559A6">
        <w:rPr>
          <w:rFonts w:ascii="Arial" w:eastAsia="Times New Roman" w:hAnsi="Arial" w:cs="Arial"/>
          <w:color w:val="222222"/>
          <w:sz w:val="19"/>
          <w:szCs w:val="19"/>
          <w:lang w:eastAsia="en-CA"/>
        </w:rPr>
        <w:t> </w:t>
      </w:r>
    </w:p>
    <w:p w:rsidR="00B559A6" w:rsidRPr="00B559A6" w:rsidRDefault="00B559A6" w:rsidP="00CE0DBE">
      <w:pPr>
        <w:rPr>
          <w:rFonts w:ascii="Times New Roman" w:eastAsia="Times New Roman" w:hAnsi="Times New Roman" w:cs="Times New Roman"/>
          <w:lang w:eastAsia="en-CA"/>
        </w:rPr>
      </w:pPr>
    </w:p>
    <w:p w:rsidR="00236092" w:rsidRDefault="00A31E73"/>
    <w:sectPr w:rsidR="00236092" w:rsidSect="001A6AD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1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 Neue">
    <w:panose1 w:val="02000503000000020004"/>
    <w:charset w:val="00"/>
    <w:family w:val="auto"/>
    <w:pitch w:val="variable"/>
    <w:sig w:usb0="A00002FF" w:usb1="5000205B" w:usb2="00000002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A46E30"/>
    <w:multiLevelType w:val="multilevel"/>
    <w:tmpl w:val="0414B4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9E4958"/>
    <w:multiLevelType w:val="multilevel"/>
    <w:tmpl w:val="10A279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3123C9"/>
    <w:multiLevelType w:val="multilevel"/>
    <w:tmpl w:val="20C0E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7D27C9"/>
    <w:multiLevelType w:val="multilevel"/>
    <w:tmpl w:val="F4FCEA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EF6281"/>
    <w:multiLevelType w:val="hybridMultilevel"/>
    <w:tmpl w:val="59F6CA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D0BCC"/>
    <w:multiLevelType w:val="multilevel"/>
    <w:tmpl w:val="6F86D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3BB27AE"/>
    <w:multiLevelType w:val="multilevel"/>
    <w:tmpl w:val="0DA28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759648C"/>
    <w:multiLevelType w:val="multilevel"/>
    <w:tmpl w:val="4DCC0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6"/>
  </w:num>
  <w:num w:numId="5">
    <w:abstractNumId w:val="1"/>
  </w:num>
  <w:num w:numId="6">
    <w:abstractNumId w:val="7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9A6"/>
    <w:rsid w:val="001A6AD0"/>
    <w:rsid w:val="009548BB"/>
    <w:rsid w:val="00A31E73"/>
    <w:rsid w:val="00B559A6"/>
    <w:rsid w:val="00CE0DBE"/>
    <w:rsid w:val="00E52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4FE0929"/>
  <w15:chartTrackingRefBased/>
  <w15:docId w15:val="{2D548163-B96A-8D4F-A747-049C606C5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559A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CA"/>
    </w:rPr>
  </w:style>
  <w:style w:type="character" w:customStyle="1" w:styleId="il">
    <w:name w:val="il"/>
    <w:basedOn w:val="DefaultParagraphFont"/>
    <w:rsid w:val="00B559A6"/>
  </w:style>
  <w:style w:type="character" w:styleId="Hyperlink">
    <w:name w:val="Hyperlink"/>
    <w:basedOn w:val="DefaultParagraphFont"/>
    <w:uiPriority w:val="99"/>
    <w:semiHidden/>
    <w:unhideWhenUsed/>
    <w:rsid w:val="00B559A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E0D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66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0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4550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756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30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44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65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3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6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69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cannhumanrights.net/document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mmunity.icann.org/display/WEIA/Documents?preview=/59641302/79437270/CCWG-Accountability-WS2-HumanRight-FinalReport-20171106%5B1%5D.pdf" TargetMode="External"/><Relationship Id="rId5" Type="http://schemas.openxmlformats.org/officeDocument/2006/relationships/hyperlink" Target="https://participate.icann.org/ncsg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Karanicolas</dc:creator>
  <cp:keywords/>
  <dc:description/>
  <cp:lastModifiedBy>Michael Karanicolas</cp:lastModifiedBy>
  <cp:revision>3</cp:revision>
  <dcterms:created xsi:type="dcterms:W3CDTF">2018-07-30T13:48:00Z</dcterms:created>
  <dcterms:modified xsi:type="dcterms:W3CDTF">2018-07-30T13:54:00Z</dcterms:modified>
</cp:coreProperties>
</file>