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9AAEB4" w14:textId="77777777" w:rsidR="005D6659" w:rsidRDefault="00030E37" w:rsidP="00114CA7">
      <w:pPr>
        <w:jc w:val="both"/>
        <w:rPr>
          <w:rFonts w:ascii="Cambria" w:hAnsi="Cambria" w:cs="Helvetica Light"/>
          <w:color w:val="262626"/>
        </w:rPr>
      </w:pPr>
      <w:r>
        <w:rPr>
          <w:rFonts w:ascii="Cambria" w:hAnsi="Cambria" w:cs="Helvetica Light"/>
          <w:color w:val="262626"/>
        </w:rPr>
        <w:t>Effective public engagement is not possible without robust structures of transparency, including a right of access to information. Globally, the right to information is broadly recognised as a human right. Over 100 countries in the world</w:t>
      </w:r>
      <w:r w:rsidR="00F315B0" w:rsidRPr="00F315B0">
        <w:rPr>
          <w:rFonts w:ascii="Cambria" w:hAnsi="Cambria" w:cs="Helvetica Light"/>
          <w:color w:val="262626"/>
        </w:rPr>
        <w:t xml:space="preserve"> </w:t>
      </w:r>
      <w:r w:rsidR="00F315B0">
        <w:rPr>
          <w:rFonts w:ascii="Cambria" w:hAnsi="Cambria" w:cs="Helvetica Light"/>
          <w:color w:val="262626"/>
        </w:rPr>
        <w:t xml:space="preserve">as well as most progressive multilateral institutions, have an access to information or right to information policy on the books, and there are clear international standards for what makes a strong policy, including principles of maximum access with limited exceptions, clear and </w:t>
      </w:r>
      <w:r w:rsidR="00F315B0" w:rsidRPr="004D6D52">
        <w:rPr>
          <w:rFonts w:cstheme="minorHAnsi"/>
        </w:rPr>
        <w:t xml:space="preserve">simple access procedures, strong </w:t>
      </w:r>
      <w:r w:rsidR="00F315B0">
        <w:rPr>
          <w:rFonts w:cstheme="minorHAnsi"/>
        </w:rPr>
        <w:t xml:space="preserve">and independent </w:t>
      </w:r>
      <w:r w:rsidR="00F315B0" w:rsidRPr="004D6D52">
        <w:rPr>
          <w:rFonts w:cstheme="minorHAnsi"/>
        </w:rPr>
        <w:t>oversight</w:t>
      </w:r>
      <w:r w:rsidR="00F315B0">
        <w:rPr>
          <w:rFonts w:cstheme="minorHAnsi"/>
        </w:rPr>
        <w:t xml:space="preserve"> and extensive proactive disclosure.</w:t>
      </w:r>
      <w:r w:rsidR="00F315B0">
        <w:rPr>
          <w:rFonts w:ascii="Cambria" w:hAnsi="Cambria" w:cs="Helvetica Light"/>
          <w:color w:val="262626"/>
        </w:rPr>
        <w:t xml:space="preserve"> At ICANN, public access to information is regulated through the </w:t>
      </w:r>
      <w:r w:rsidR="00F315B0" w:rsidRPr="00F315B0">
        <w:rPr>
          <w:rFonts w:ascii="Cambria" w:hAnsi="Cambria" w:cs="Helvetica Light"/>
          <w:color w:val="262626"/>
        </w:rPr>
        <w:t>Documentary Information Disclosure Policy</w:t>
      </w:r>
      <w:r w:rsidR="00F315B0">
        <w:rPr>
          <w:rFonts w:ascii="Cambria" w:hAnsi="Cambria" w:cs="Helvetica Light"/>
          <w:color w:val="262626"/>
        </w:rPr>
        <w:t xml:space="preserve"> (DIDP). </w:t>
      </w:r>
      <w:r w:rsidR="004371BB">
        <w:rPr>
          <w:rFonts w:ascii="Cambria" w:hAnsi="Cambria" w:cs="Helvetica Light"/>
          <w:color w:val="262626"/>
        </w:rPr>
        <w:t xml:space="preserve">Although the DIDP has many positive features, it also falls short of international standards in several important ways, which should be reformed. </w:t>
      </w:r>
    </w:p>
    <w:p w14:paraId="316F2923" w14:textId="77777777" w:rsidR="005D6659" w:rsidRDefault="005D6659" w:rsidP="00114CA7">
      <w:pPr>
        <w:jc w:val="both"/>
        <w:rPr>
          <w:rFonts w:ascii="Cambria" w:hAnsi="Cambria" w:cs="Helvetica Light"/>
          <w:color w:val="262626"/>
        </w:rPr>
      </w:pPr>
    </w:p>
    <w:p w14:paraId="6E67F03E" w14:textId="3D2EF751" w:rsidR="00563EA1" w:rsidRDefault="00511FB9" w:rsidP="00114CA7">
      <w:pPr>
        <w:jc w:val="both"/>
        <w:rPr>
          <w:rFonts w:ascii="Cambria" w:hAnsi="Cambria" w:cs="Arial"/>
          <w:color w:val="1A1A1A"/>
        </w:rPr>
      </w:pPr>
      <w:r>
        <w:rPr>
          <w:rFonts w:ascii="Cambria" w:hAnsi="Cambria" w:cs="Helvetica Light"/>
          <w:color w:val="262626"/>
        </w:rPr>
        <w:t>First, while ICANN</w:t>
      </w:r>
      <w:r w:rsidR="00C1684F">
        <w:rPr>
          <w:rFonts w:ascii="Cambria" w:hAnsi="Cambria" w:cs="Helvetica Light"/>
          <w:color w:val="262626"/>
        </w:rPr>
        <w:t xml:space="preserve"> provides a reasonably short timeframe for responding to requests, at 30 calendar days, it places no limit on how long extensions to this timeframe can run.</w:t>
      </w:r>
      <w:r w:rsidR="002C3B77">
        <w:rPr>
          <w:rFonts w:ascii="Cambria" w:hAnsi="Cambria" w:cs="Helvetica Light"/>
          <w:color w:val="262626"/>
        </w:rPr>
        <w:t xml:space="preserve"> As a comparator, Finland’s </w:t>
      </w:r>
      <w:r w:rsidR="002C3B77" w:rsidRPr="002C3B77">
        <w:rPr>
          <w:i/>
        </w:rPr>
        <w:t>Act on the Openness of Government Activities</w:t>
      </w:r>
      <w:r w:rsidR="002C3B77">
        <w:t xml:space="preserve"> caps extensions at an additional 30 days, which should be sufficient time to respond to any request.</w:t>
      </w:r>
      <w:r w:rsidR="006D35A1">
        <w:t xml:space="preserve"> </w:t>
      </w:r>
      <w:r w:rsidR="00563EA1">
        <w:rPr>
          <w:rFonts w:ascii="Cambria" w:hAnsi="Cambria" w:cs="Arial"/>
          <w:color w:val="1A1A1A"/>
        </w:rPr>
        <w:t xml:space="preserve">Another key principle of the right to information, independent oversight, is present in ICANN’s Ombudsman, though they lack the power to overrule administrative decisions. This is a </w:t>
      </w:r>
      <w:r w:rsidR="005F6871">
        <w:rPr>
          <w:rFonts w:ascii="Cambria" w:hAnsi="Cambria" w:cs="Arial"/>
          <w:color w:val="1A1A1A"/>
        </w:rPr>
        <w:t>power</w:t>
      </w:r>
      <w:r w:rsidR="00563EA1">
        <w:rPr>
          <w:rFonts w:ascii="Cambria" w:hAnsi="Cambria" w:cs="Arial"/>
          <w:color w:val="1A1A1A"/>
        </w:rPr>
        <w:t xml:space="preserve"> of most effective oversight bodies, though it is </w:t>
      </w:r>
      <w:r w:rsidR="00EE1D1F">
        <w:rPr>
          <w:rFonts w:ascii="Cambria" w:hAnsi="Cambria" w:cs="Arial"/>
          <w:color w:val="1A1A1A"/>
        </w:rPr>
        <w:t>possible that the Ombudsman’s ADR processes are sufficient to encourage compliance within the specific context of ICANN.</w:t>
      </w:r>
    </w:p>
    <w:p w14:paraId="256B4E50" w14:textId="77777777" w:rsidR="00563EA1" w:rsidRDefault="00563EA1" w:rsidP="0051027F">
      <w:pPr>
        <w:jc w:val="both"/>
      </w:pPr>
    </w:p>
    <w:p w14:paraId="712DC3E3" w14:textId="70F8E53B" w:rsidR="007C24F9" w:rsidRPr="00E032B0" w:rsidRDefault="00B21250" w:rsidP="00030E37">
      <w:pPr>
        <w:jc w:val="both"/>
      </w:pPr>
      <w:r>
        <w:t xml:space="preserve">In weighing the DIDP against international standards, there are significant problems with the </w:t>
      </w:r>
      <w:r w:rsidR="006D35A1">
        <w:t xml:space="preserve">Defined Conditions for Nondisclosure. While every right to information framework has exceptions, these should be worded as narrowly as possible, so that only information whose disclosure would cause real harm to a legitimate public interest may be withheld. </w:t>
      </w:r>
      <w:r w:rsidR="00536F1A">
        <w:t xml:space="preserve">Although most of the listed exceptions roughly correspond to legitimate interests, many are overbroad in important ways. </w:t>
      </w:r>
      <w:r w:rsidR="00F82258">
        <w:t xml:space="preserve">For example, the </w:t>
      </w:r>
      <w:r w:rsidR="00536F1A">
        <w:t>DIDP</w:t>
      </w:r>
      <w:r w:rsidR="00F82258">
        <w:t xml:space="preserve"> allows nondisclosure for any</w:t>
      </w:r>
      <w:r w:rsidR="00F82258" w:rsidRPr="00F82258">
        <w:t xml:space="preserve"> </w:t>
      </w:r>
      <w:r w:rsidR="00F82258">
        <w:t>i</w:t>
      </w:r>
      <w:r w:rsidR="00F82258" w:rsidRPr="000B78E9">
        <w:t xml:space="preserve">nformation </w:t>
      </w:r>
      <w:r w:rsidR="00F82258">
        <w:t>“</w:t>
      </w:r>
      <w:r w:rsidR="00F82258" w:rsidRPr="000B78E9">
        <w:t>that relates in any way to the security and stability of the Internet</w:t>
      </w:r>
      <w:r w:rsidR="00F82258">
        <w:t>”, rathe</w:t>
      </w:r>
      <w:r w:rsidR="007049BB">
        <w:t xml:space="preserve">r than </w:t>
      </w:r>
      <w:r w:rsidR="00536F1A">
        <w:t xml:space="preserve">limiting the exception to </w:t>
      </w:r>
      <w:r w:rsidR="007049BB">
        <w:t xml:space="preserve">information whose disclosure would cause harm to the </w:t>
      </w:r>
      <w:r w:rsidR="007049BB" w:rsidRPr="000B78E9">
        <w:t>security and stability of the Internet</w:t>
      </w:r>
      <w:r w:rsidR="007049BB">
        <w:t xml:space="preserve">. The DIDP also allows for nondisclosure of any information provided to a government </w:t>
      </w:r>
      <w:r w:rsidR="00BB3C76">
        <w:t>or internati</w:t>
      </w:r>
      <w:r w:rsidR="00C2473F">
        <w:t>onal organis</w:t>
      </w:r>
      <w:r w:rsidR="00BB3C76">
        <w:t xml:space="preserve">ation </w:t>
      </w:r>
      <w:r w:rsidR="007049BB">
        <w:t xml:space="preserve">in the expectation that it would be kept confidential, without regard to whether the demand for confidentiality was rooted in any legitimate concern, or whether the disclosure would actually cause harm to their relationship with the third party. The DIDP policy further allows </w:t>
      </w:r>
      <w:r w:rsidR="00DF2A8B">
        <w:t>ICANN to dismiss requests that are not “reasonable”, without providing clear guidance as to what that means. Another hallmark of a strong access to information regime</w:t>
      </w:r>
      <w:r w:rsidR="00E3564B">
        <w:t>s</w:t>
      </w:r>
      <w:r w:rsidR="00DF2A8B">
        <w:t xml:space="preserve"> is the public interest </w:t>
      </w:r>
      <w:r w:rsidR="0051027F">
        <w:t>test</w:t>
      </w:r>
      <w:r w:rsidR="00DF2A8B">
        <w:t>,</w:t>
      </w:r>
      <w:r w:rsidR="0051027F">
        <w:t xml:space="preserve"> where information which falls under an exception should still be disclosed if the public interest in disclosure outweighs the likely harm. The DIDP has a public interest test, but in addition to allowing </w:t>
      </w:r>
      <w:r w:rsidR="0051027F" w:rsidRPr="0051027F">
        <w:rPr>
          <w:rFonts w:ascii="Cambria" w:hAnsi="Cambria" w:cs="Arial"/>
          <w:color w:val="1A1A1A"/>
        </w:rPr>
        <w:t>disclosure of material which falls under an exception, it expands the</w:t>
      </w:r>
      <w:r w:rsidR="0051027F">
        <w:t xml:space="preserve"> </w:t>
      </w:r>
      <w:r w:rsidR="0051027F" w:rsidRPr="0051027F">
        <w:rPr>
          <w:rFonts w:ascii="Cambria" w:hAnsi="Cambria" w:cs="Arial"/>
          <w:color w:val="1A1A1A"/>
        </w:rPr>
        <w:t>scope of exempted material so that ICANN can withhold virtually anything if it believes that the public interest weighs against disclosure. In progressive right to information laws, the public interest test is only a mechanism for disclosure of information that falls under a listed exception, not an avenue for withholding information that doesn't fall under an exception.</w:t>
      </w:r>
      <w:r w:rsidR="001E6A80">
        <w:t xml:space="preserve"> We </w:t>
      </w:r>
      <w:r w:rsidR="001E6A80">
        <w:lastRenderedPageBreak/>
        <w:t xml:space="preserve">recommend a comprehensive review of the DIDP, in order to address these and other issues with the policy, and ensure that ICANN operates with maximum transparency, as befits its role as </w:t>
      </w:r>
      <w:r w:rsidR="00D77C4F">
        <w:t>steward</w:t>
      </w:r>
      <w:bookmarkStart w:id="0" w:name="_GoBack"/>
      <w:bookmarkEnd w:id="0"/>
      <w:r w:rsidR="001E6A80">
        <w:t xml:space="preserve"> over a vital public resource.</w:t>
      </w:r>
    </w:p>
    <w:sectPr w:rsidR="007C24F9" w:rsidRPr="00E032B0" w:rsidSect="00E801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E37"/>
    <w:rsid w:val="00030E37"/>
    <w:rsid w:val="00114CA7"/>
    <w:rsid w:val="001E6A80"/>
    <w:rsid w:val="00213791"/>
    <w:rsid w:val="002816B9"/>
    <w:rsid w:val="002C3B77"/>
    <w:rsid w:val="004371BB"/>
    <w:rsid w:val="004F223F"/>
    <w:rsid w:val="0051027F"/>
    <w:rsid w:val="00511FB9"/>
    <w:rsid w:val="00536F1A"/>
    <w:rsid w:val="00563EA1"/>
    <w:rsid w:val="005D6659"/>
    <w:rsid w:val="005F6871"/>
    <w:rsid w:val="006107D8"/>
    <w:rsid w:val="00675AE3"/>
    <w:rsid w:val="006D1AB9"/>
    <w:rsid w:val="006D35A1"/>
    <w:rsid w:val="007049BB"/>
    <w:rsid w:val="007C24F9"/>
    <w:rsid w:val="00996657"/>
    <w:rsid w:val="00B21250"/>
    <w:rsid w:val="00BB3C76"/>
    <w:rsid w:val="00C1684F"/>
    <w:rsid w:val="00C20C40"/>
    <w:rsid w:val="00C2473F"/>
    <w:rsid w:val="00C7376C"/>
    <w:rsid w:val="00D77C4F"/>
    <w:rsid w:val="00DF2A8B"/>
    <w:rsid w:val="00E032B0"/>
    <w:rsid w:val="00E3564B"/>
    <w:rsid w:val="00E8014B"/>
    <w:rsid w:val="00EE1D1F"/>
    <w:rsid w:val="00F315B0"/>
    <w:rsid w:val="00F822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5670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564</Words>
  <Characters>3220</Characters>
  <Application>Microsoft Macintosh Word</Application>
  <DocSecurity>0</DocSecurity>
  <Lines>26</Lines>
  <Paragraphs>7</Paragraphs>
  <ScaleCrop>false</ScaleCrop>
  <Company>Centre for Law and Democracy</Company>
  <LinksUpToDate>false</LinksUpToDate>
  <CharactersWithSpaces>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dc:creator>
  <cp:keywords/>
  <dc:description/>
  <cp:lastModifiedBy>Michael K</cp:lastModifiedBy>
  <cp:revision>41</cp:revision>
  <dcterms:created xsi:type="dcterms:W3CDTF">2015-09-09T17:27:00Z</dcterms:created>
  <dcterms:modified xsi:type="dcterms:W3CDTF">2015-09-09T20:09:00Z</dcterms:modified>
</cp:coreProperties>
</file>